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384F2C" w14:textId="478B132C"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EK</w:t>
      </w:r>
      <w:r w:rsidR="00ED58FC">
        <w:rPr>
          <w:rFonts w:ascii="Times New Roman" w:hAnsi="Times New Roman" w:cs="Times New Roman"/>
          <w:b/>
          <w:bCs/>
          <w:sz w:val="24"/>
          <w:szCs w:val="24"/>
        </w:rPr>
        <w:t>-</w:t>
      </w:r>
      <w:r w:rsidRPr="002340FA">
        <w:rPr>
          <w:rFonts w:ascii="Times New Roman" w:hAnsi="Times New Roman" w:cs="Times New Roman"/>
          <w:b/>
          <w:bCs/>
          <w:sz w:val="24"/>
          <w:szCs w:val="24"/>
        </w:rPr>
        <w:t>1</w:t>
      </w:r>
    </w:p>
    <w:p w14:paraId="36420B6C" w14:textId="2B12C60D" w:rsidR="00772287" w:rsidRPr="002340FA" w:rsidRDefault="00772287" w:rsidP="00772287">
      <w:pPr>
        <w:spacing w:after="180" w:line="300" w:lineRule="exact"/>
        <w:jc w:val="center"/>
        <w:rPr>
          <w:rFonts w:ascii="Times New Roman" w:hAnsi="Times New Roman" w:cs="Times New Roman"/>
          <w:b/>
          <w:bCs/>
          <w:sz w:val="24"/>
          <w:szCs w:val="24"/>
        </w:rPr>
      </w:pPr>
      <w:r w:rsidRPr="002340FA">
        <w:rPr>
          <w:rFonts w:ascii="Times New Roman" w:hAnsi="Times New Roman" w:cs="Times New Roman"/>
          <w:b/>
          <w:bCs/>
          <w:sz w:val="24"/>
          <w:szCs w:val="24"/>
        </w:rPr>
        <w:t xml:space="preserve">FLUTİNG </w:t>
      </w:r>
      <w:r w:rsidR="00E53285" w:rsidRPr="002340FA">
        <w:rPr>
          <w:rFonts w:ascii="Times New Roman" w:hAnsi="Times New Roman" w:cs="Times New Roman"/>
          <w:b/>
          <w:bCs/>
          <w:sz w:val="24"/>
          <w:szCs w:val="24"/>
        </w:rPr>
        <w:t>VE</w:t>
      </w:r>
      <w:r w:rsidRPr="002340FA">
        <w:rPr>
          <w:rFonts w:ascii="Times New Roman" w:hAnsi="Times New Roman" w:cs="Times New Roman"/>
          <w:b/>
          <w:bCs/>
          <w:sz w:val="24"/>
          <w:szCs w:val="24"/>
        </w:rPr>
        <w:t xml:space="preserve"> TESTLAYNER KAĞIT İTHALATINA YÖNELİK KORUNMA ÖNLEMİ SORUŞTURMASINA İLİŞKİN SORUŞTURMA ÖZET RAPORU</w:t>
      </w:r>
    </w:p>
    <w:p w14:paraId="1EBD102B"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1. Soruşturmaya ilişkin genel bilgiler</w:t>
      </w:r>
    </w:p>
    <w:p w14:paraId="5622049B"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b/>
          <w:bCs/>
          <w:sz w:val="24"/>
          <w:szCs w:val="24"/>
        </w:rPr>
        <w:t>1.1 Başvuru</w:t>
      </w:r>
    </w:p>
    <w:p w14:paraId="721796FB"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Türkiye’de üretim yapan kâğıt üreticileri adına Kâğıt Geri Dönüşüm Sanayicileri Derneği (AGED) tarafından Bakanlığımıza yapılan başvuruda, farklı türde kâğıt ürünleri ithalatının mutlak ve nispi olarak arttığı, bu durumun ise yerli üreticiler üzerinde ciddi zarar oluşturduğu iddiası ile anılan eşyanın ithalatında korunma önlemi uygulanması talep edilmiştir.</w:t>
      </w:r>
    </w:p>
    <w:p w14:paraId="0E0811E0"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Yapılan ön inceleme sonucunda, fluting ve testlayner olarak adlandırılan kâğıt türleri için korunma önlemi incelemesi yapılmasının uygun olacağı değerlendirilmiştir.</w:t>
      </w:r>
    </w:p>
    <w:p w14:paraId="66A2670F" w14:textId="3D6B5A53"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Başvuru sahibi firmalar, Modern Karton Sanayi ve Ticaret Anonim Şirketi, Kipaş Kâğıt İşletmeleri Anonim Şirketi, Kahramanmaraş Kâğıt Sanayi ve Ticaret Anonim Şirketi, Varaka Kâğıt Sanayi Anonim Şirketi, Halkalı Kâğıt Karton Sanayi ve Ticaret Anonim Şirketi ve Pehlivanoğlu Kâğıt Mamulleri ve Ambalaj Sanayi Ticaret Anonim Şirketidir. Mopak A.Ş.’den soruşturma sürecinde güncel veri temin edilememiş olduğundan, başvuru sahibi firmalar arasında değerlendirilmemiş ve anılan firma verileri zarar değerlendirmesinde kullanılmamıştır.</w:t>
      </w:r>
      <w:r w:rsidR="0093718F">
        <w:rPr>
          <w:rFonts w:ascii="Times New Roman" w:hAnsi="Times New Roman" w:cs="Times New Roman"/>
          <w:sz w:val="24"/>
          <w:szCs w:val="24"/>
        </w:rPr>
        <w:t xml:space="preserve"> Mopak A.Ş. firması olumsuz piyasa koşulları sebebiyle 13/5/2024 tarihinden itibaren Dalaman’daki </w:t>
      </w:r>
      <w:r w:rsidR="00114334">
        <w:rPr>
          <w:rFonts w:ascii="Times New Roman" w:hAnsi="Times New Roman" w:cs="Times New Roman"/>
          <w:sz w:val="24"/>
          <w:szCs w:val="24"/>
        </w:rPr>
        <w:t>kâğıt</w:t>
      </w:r>
      <w:r w:rsidR="0093718F">
        <w:rPr>
          <w:rFonts w:ascii="Times New Roman" w:hAnsi="Times New Roman" w:cs="Times New Roman"/>
          <w:sz w:val="24"/>
          <w:szCs w:val="24"/>
        </w:rPr>
        <w:t xml:space="preserve"> fabrikasını kapatma kararı aldığını duyurmuştur.</w:t>
      </w:r>
    </w:p>
    <w:p w14:paraId="7F589C7D"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1.2 Başvurunun temsil durumu ve yerli üretici firmalara ilişkin bilgi</w:t>
      </w:r>
    </w:p>
    <w:p w14:paraId="703341CB" w14:textId="5A74E5BD" w:rsidR="00094BB4" w:rsidRPr="00094BB4" w:rsidRDefault="00094BB4" w:rsidP="00772287">
      <w:pPr>
        <w:spacing w:after="180" w:line="300" w:lineRule="exact"/>
        <w:jc w:val="both"/>
        <w:rPr>
          <w:rFonts w:ascii="Times New Roman" w:hAnsi="Times New Roman" w:cs="Times New Roman"/>
          <w:sz w:val="24"/>
          <w:szCs w:val="24"/>
        </w:rPr>
      </w:pPr>
      <w:r w:rsidRPr="00094BB4">
        <w:rPr>
          <w:rFonts w:ascii="Times New Roman" w:hAnsi="Times New Roman" w:cs="Times New Roman"/>
          <w:sz w:val="24"/>
          <w:szCs w:val="24"/>
        </w:rPr>
        <w:t xml:space="preserve">Başvuru sahibi firmalar soruşturma konusu </w:t>
      </w:r>
      <w:r>
        <w:rPr>
          <w:rFonts w:ascii="Times New Roman" w:hAnsi="Times New Roman" w:cs="Times New Roman"/>
          <w:sz w:val="24"/>
          <w:szCs w:val="24"/>
        </w:rPr>
        <w:t>eşyanın</w:t>
      </w:r>
      <w:r w:rsidRPr="00094BB4">
        <w:rPr>
          <w:rFonts w:ascii="Times New Roman" w:hAnsi="Times New Roman" w:cs="Times New Roman"/>
          <w:sz w:val="24"/>
          <w:szCs w:val="24"/>
        </w:rPr>
        <w:t xml:space="preserve"> Türkiye’deki üretiminin önemli bir kısmını gerçekleştirmektedir. Bu durumda, başvuru sahibi firmaların İthalatta Korunma Önlemleri Yönetmeliğinin 2 nci maddesinde “yurtiçinde faaliyet gösteren ve benzer veya doğrudan rakip malların tamamını veya önemli bir kısmını üreten üreticiler” şeklinde belirtilen “yerli üretici” tanımını karşıladığı değerlendirilmektedir.</w:t>
      </w:r>
    </w:p>
    <w:p w14:paraId="248BB269"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1.3 Soruşturma açılması</w:t>
      </w:r>
    </w:p>
    <w:p w14:paraId="1E483B31" w14:textId="519E575B"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Yapılan ön inceleme sonucunda, ithalat artışı ve yerli üretim dalının ekonomik göstergelerinde bozulmalar olması neticesinde ortaya çıkan zarar veya zarar tehdidi ve her ikisi arasında illiyet bağının bulunduğuna ilişkin saptamalar 4/1/2024 tarihinde İthalatta Korunma Önlemleri Kuruluna sunulmuş, Kurul başvuru konusu eşya için Korunma Önlemi Soruşturması açılmasına karar vermiştir.</w:t>
      </w:r>
    </w:p>
    <w:p w14:paraId="7343EC8F" w14:textId="15E1162E" w:rsidR="009B4E12"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 çerçevede, 12/1/2024 tarihli ve 324</w:t>
      </w:r>
      <w:r w:rsidR="007379F4">
        <w:rPr>
          <w:rFonts w:ascii="Times New Roman" w:hAnsi="Times New Roman" w:cs="Times New Roman"/>
          <w:sz w:val="24"/>
          <w:szCs w:val="24"/>
        </w:rPr>
        <w:t>27</w:t>
      </w:r>
      <w:r w:rsidRPr="002340FA">
        <w:rPr>
          <w:rFonts w:ascii="Times New Roman" w:hAnsi="Times New Roman" w:cs="Times New Roman"/>
          <w:sz w:val="24"/>
          <w:szCs w:val="24"/>
        </w:rPr>
        <w:t xml:space="preserve"> sayılı Resmî Gazete’de </w:t>
      </w:r>
      <w:r w:rsidR="007379F4">
        <w:rPr>
          <w:rFonts w:ascii="Times New Roman" w:hAnsi="Times New Roman" w:cs="Times New Roman"/>
          <w:sz w:val="24"/>
          <w:szCs w:val="24"/>
        </w:rPr>
        <w:t xml:space="preserve">yayımlanan </w:t>
      </w:r>
      <w:r w:rsidRPr="002340FA">
        <w:rPr>
          <w:rFonts w:ascii="Times New Roman" w:hAnsi="Times New Roman" w:cs="Times New Roman"/>
          <w:sz w:val="24"/>
          <w:szCs w:val="24"/>
        </w:rPr>
        <w:t xml:space="preserve">İthalatta Korunma Önlemlerine İlişkin Tebliğ </w:t>
      </w:r>
      <w:r w:rsidR="007379F4">
        <w:rPr>
          <w:rFonts w:ascii="Times New Roman" w:hAnsi="Times New Roman" w:cs="Times New Roman"/>
          <w:sz w:val="24"/>
          <w:szCs w:val="24"/>
        </w:rPr>
        <w:t>(</w:t>
      </w:r>
      <w:r w:rsidR="007379F4" w:rsidRPr="002340FA">
        <w:rPr>
          <w:rFonts w:ascii="Times New Roman" w:hAnsi="Times New Roman" w:cs="Times New Roman"/>
          <w:sz w:val="24"/>
          <w:szCs w:val="24"/>
        </w:rPr>
        <w:t xml:space="preserve">Tebliğ </w:t>
      </w:r>
      <w:r w:rsidR="007379F4">
        <w:rPr>
          <w:rFonts w:ascii="Times New Roman" w:hAnsi="Times New Roman" w:cs="Times New Roman"/>
          <w:sz w:val="24"/>
          <w:szCs w:val="24"/>
        </w:rPr>
        <w:t xml:space="preserve">No:2024/1) </w:t>
      </w:r>
      <w:r w:rsidRPr="002340FA">
        <w:rPr>
          <w:rFonts w:ascii="Times New Roman" w:hAnsi="Times New Roman" w:cs="Times New Roman"/>
          <w:sz w:val="24"/>
          <w:szCs w:val="24"/>
        </w:rPr>
        <w:t>ile Kurul kararı ilan edilerek başvuru konusu eşya ithalatına karşı korunma önlemi soruşturması açılmıştır. Ayrıca, soruşturmanın açıldığına ilişkin bildirim 17/1/2024 tarih ve G/SG/N/6/TUR/31 kodu ile Dünya Ticaret Örgütü (DTÖ) internet sitesinde yayımlanmıştır.</w:t>
      </w:r>
    </w:p>
    <w:p w14:paraId="637C89A7" w14:textId="77777777" w:rsidR="00114334" w:rsidRDefault="00114334" w:rsidP="00772287">
      <w:pPr>
        <w:spacing w:after="180" w:line="300" w:lineRule="exact"/>
        <w:jc w:val="both"/>
        <w:rPr>
          <w:rFonts w:ascii="Times New Roman" w:hAnsi="Times New Roman" w:cs="Times New Roman"/>
          <w:sz w:val="24"/>
          <w:szCs w:val="24"/>
        </w:rPr>
      </w:pPr>
    </w:p>
    <w:p w14:paraId="605917D1" w14:textId="4F831831" w:rsidR="00772287" w:rsidRPr="009B4E12"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b/>
          <w:bCs/>
          <w:sz w:val="24"/>
          <w:szCs w:val="24"/>
        </w:rPr>
        <w:t>1.4 İlgili taraflar ve tarafları dinleme toplantısı</w:t>
      </w:r>
    </w:p>
    <w:p w14:paraId="54F3874A" w14:textId="1FC2F53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lastRenderedPageBreak/>
        <w:t xml:space="preserve">Soruşturma açılış </w:t>
      </w:r>
      <w:r w:rsidR="00AA4B67">
        <w:rPr>
          <w:rFonts w:ascii="Times New Roman" w:hAnsi="Times New Roman" w:cs="Times New Roman"/>
          <w:sz w:val="24"/>
          <w:szCs w:val="24"/>
        </w:rPr>
        <w:t>t</w:t>
      </w:r>
      <w:r w:rsidRPr="002340FA">
        <w:rPr>
          <w:rFonts w:ascii="Times New Roman" w:hAnsi="Times New Roman" w:cs="Times New Roman"/>
          <w:sz w:val="24"/>
          <w:szCs w:val="24"/>
        </w:rPr>
        <w:t>ebliğinde, ilgili taraflara istenen bilgi ve belgeleri sunmaları ve varsa sözlü olarak dinlenme taleplerini iletmeleri için soruşturmanın açılış tarihinden itibaren 30 gün süre verilmiştir. Bununla birlikte süre uzatma talepleri, ilgili mevzuat hükümleri çerçevesinde karşılanmıştır.</w:t>
      </w:r>
    </w:p>
    <w:p w14:paraId="1D99FDF9"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 çerçevede, öngörülen süre içerisinde Türkiye’de yerleşik ithalatçı firma sıfatıyla 6, yurtdışı ihracatçı sıfatıyla 10 ve yabancı hükümet/diplomatik temsilcilik/sektör kuruluşu niteliğinde 12 adet olmak üzere toplam 28 adet ilgili taraf başvurusu alınmış ve ilgili tarafların görüşlerinin dinlenilmesi amacıyla 4/4/2024 tarihinde kamu dinleme toplantısı gerçekleştirilmiştir.</w:t>
      </w:r>
    </w:p>
    <w:p w14:paraId="37B0F600"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İlgili tarafların listesi Ek 1a’da yer almaktadır.</w:t>
      </w:r>
    </w:p>
    <w:p w14:paraId="1ADA2EDA"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1.5 Yerinde inceleme</w:t>
      </w:r>
    </w:p>
    <w:p w14:paraId="3F44144C"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Soruşturma kapsamında, başvuru sahibi firmalardan yerli üretim dalının yarısını temsil eden Modern Karton ile Kipaş Kâğıdın başvuru esnasında Bakanlığımıza beyan etmiş olduğu ekonomik göstergeler tablosu çevrimiçi olarak doğrulanmış, sonrasında Modern Karton’un üretim tesislerinde yerinde inceleme ziyareti gerçekleştirilerek beyan etmiş olduğu verilerin doğruluğu bir kez daha teyit edilmiştir.</w:t>
      </w:r>
    </w:p>
    <w:p w14:paraId="31CB7CCE"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1.6 Soruşturma dönemi</w:t>
      </w:r>
    </w:p>
    <w:p w14:paraId="667FB277"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Soruşturma dönemi olarak 1/1/2019 ile 31/12/2023 tarihlerini kapsayan beş yıllık dönem esas alınmıştır.</w:t>
      </w:r>
    </w:p>
    <w:p w14:paraId="4BEE71F2"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2. Soruşturma konusu ürün</w:t>
      </w:r>
    </w:p>
    <w:p w14:paraId="15962E47"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2.1 Soruşturma konusu ürünün tanımı, kullanım alanları ve gümrük tarife istatistik pozisyonu</w:t>
      </w:r>
    </w:p>
    <w:p w14:paraId="3D7A19B5"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Fluting kâğıt, dayanıklılığı artırmak için karton kutuların üretiminde kullanılan bir dalgalı kartondur. Karton kutuların iç kısımlarında yer alan dalgalı tabakalar fluting kağıdından yapılmaktadır. Testlayner kâğıt ise karton kutuların dış yüzeylerinde kullanılan bir tür kaplama kağıdıdır. Ana kullanım alanı karton ambalaj malzemeleridir. Her iki kâğıt türü de genellikle geri dönüştürülmüş selülozdan üretilen ve geri dönüştürme sürecinde kolayca yeniden kullanılabilen özelliğe haiz ürünlerdir.</w:t>
      </w:r>
    </w:p>
    <w:p w14:paraId="10390C46" w14:textId="1545F6A8"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Yukarıda kullanım alanı belirtilen soruşturma konusu eşya Türk Gümrük Tarife Cetvelinde (TGTC) 48.05 Gümrük Tarife Pozisyonu altında sınıflandırılmakta olup soruşturma kapsamında bulunan eşyaya ilişkin bilgiler aşağıda yer alan tabloda ayrıca gösterilmektedir.</w:t>
      </w:r>
    </w:p>
    <w:tbl>
      <w:tblPr>
        <w:tblW w:w="9062" w:type="dxa"/>
        <w:tblCellMar>
          <w:left w:w="70" w:type="dxa"/>
          <w:right w:w="70" w:type="dxa"/>
        </w:tblCellMar>
        <w:tblLook w:val="04A0" w:firstRow="1" w:lastRow="0" w:firstColumn="1" w:lastColumn="0" w:noHBand="0" w:noVBand="1"/>
      </w:tblPr>
      <w:tblGrid>
        <w:gridCol w:w="520"/>
        <w:gridCol w:w="1455"/>
        <w:gridCol w:w="7087"/>
      </w:tblGrid>
      <w:tr w:rsidR="00772287" w:rsidRPr="002340FA" w14:paraId="65540C18" w14:textId="77777777" w:rsidTr="00D0295E">
        <w:trPr>
          <w:trHeight w:val="315"/>
        </w:trPr>
        <w:tc>
          <w:tcPr>
            <w:tcW w:w="5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79892E6"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Sıra</w:t>
            </w:r>
          </w:p>
        </w:tc>
        <w:tc>
          <w:tcPr>
            <w:tcW w:w="1455" w:type="dxa"/>
            <w:tcBorders>
              <w:top w:val="single" w:sz="8" w:space="0" w:color="auto"/>
              <w:left w:val="nil"/>
              <w:bottom w:val="single" w:sz="4" w:space="0" w:color="auto"/>
              <w:right w:val="single" w:sz="4" w:space="0" w:color="auto"/>
            </w:tcBorders>
            <w:shd w:val="clear" w:color="auto" w:fill="auto"/>
            <w:noWrap/>
            <w:vAlign w:val="center"/>
            <w:hideMark/>
          </w:tcPr>
          <w:p w14:paraId="3348679C"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GTİP</w:t>
            </w:r>
          </w:p>
        </w:tc>
        <w:tc>
          <w:tcPr>
            <w:tcW w:w="7087" w:type="dxa"/>
            <w:tcBorders>
              <w:top w:val="single" w:sz="8" w:space="0" w:color="auto"/>
              <w:left w:val="nil"/>
              <w:bottom w:val="single" w:sz="4" w:space="0" w:color="auto"/>
              <w:right w:val="single" w:sz="8" w:space="0" w:color="auto"/>
            </w:tcBorders>
            <w:shd w:val="clear" w:color="auto" w:fill="auto"/>
            <w:noWrap/>
            <w:vAlign w:val="center"/>
            <w:hideMark/>
          </w:tcPr>
          <w:p w14:paraId="7BBB8E6E"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Eşya Tanımı</w:t>
            </w:r>
          </w:p>
        </w:tc>
      </w:tr>
      <w:tr w:rsidR="00772287" w:rsidRPr="002340FA" w14:paraId="653A8494" w14:textId="77777777" w:rsidTr="00D0295E">
        <w:trPr>
          <w:trHeight w:val="315"/>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14:paraId="6460D18E"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1</w:t>
            </w:r>
          </w:p>
        </w:tc>
        <w:tc>
          <w:tcPr>
            <w:tcW w:w="1455" w:type="dxa"/>
            <w:tcBorders>
              <w:top w:val="nil"/>
              <w:left w:val="nil"/>
              <w:bottom w:val="single" w:sz="4" w:space="0" w:color="auto"/>
              <w:right w:val="single" w:sz="4" w:space="0" w:color="auto"/>
            </w:tcBorders>
            <w:shd w:val="clear" w:color="auto" w:fill="auto"/>
            <w:noWrap/>
            <w:vAlign w:val="center"/>
            <w:hideMark/>
          </w:tcPr>
          <w:p w14:paraId="71541072" w14:textId="77777777" w:rsidR="00772287" w:rsidRPr="002340FA" w:rsidRDefault="00772287" w:rsidP="00D0295E">
            <w:pPr>
              <w:spacing w:after="0" w:line="240" w:lineRule="auto"/>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4805.12.00.00.00</w:t>
            </w:r>
          </w:p>
        </w:tc>
        <w:tc>
          <w:tcPr>
            <w:tcW w:w="7087" w:type="dxa"/>
            <w:tcBorders>
              <w:top w:val="nil"/>
              <w:left w:val="nil"/>
              <w:bottom w:val="single" w:sz="4" w:space="0" w:color="auto"/>
              <w:right w:val="single" w:sz="8" w:space="0" w:color="auto"/>
            </w:tcBorders>
            <w:shd w:val="clear" w:color="auto" w:fill="auto"/>
            <w:noWrap/>
            <w:vAlign w:val="center"/>
            <w:hideMark/>
          </w:tcPr>
          <w:p w14:paraId="4107D9C7" w14:textId="77777777" w:rsidR="00772287" w:rsidRPr="002340FA" w:rsidRDefault="00772287" w:rsidP="00D0295E">
            <w:pPr>
              <w:spacing w:after="0" w:line="240" w:lineRule="auto"/>
              <w:rPr>
                <w:rFonts w:ascii="Times New Roman" w:eastAsia="Times New Roman" w:hAnsi="Times New Roman" w:cs="Times New Roman"/>
                <w:color w:val="000033"/>
                <w:sz w:val="18"/>
                <w:szCs w:val="18"/>
                <w:lang w:eastAsia="tr-TR"/>
              </w:rPr>
            </w:pPr>
            <w:r w:rsidRPr="002340FA">
              <w:rPr>
                <w:rFonts w:ascii="Times New Roman" w:eastAsia="Times New Roman" w:hAnsi="Times New Roman" w:cs="Times New Roman"/>
                <w:color w:val="000033"/>
                <w:sz w:val="18"/>
                <w:szCs w:val="18"/>
                <w:lang w:eastAsia="tr-TR"/>
              </w:rPr>
              <w:t>Yarı kimyasal saman selülozlu ondüle (fluting) kâğıdı</w:t>
            </w:r>
          </w:p>
        </w:tc>
      </w:tr>
      <w:tr w:rsidR="00772287" w:rsidRPr="002340FA" w14:paraId="65331C6D" w14:textId="77777777" w:rsidTr="00D0295E">
        <w:trPr>
          <w:trHeight w:val="315"/>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14:paraId="10FD0114"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2</w:t>
            </w:r>
          </w:p>
        </w:tc>
        <w:tc>
          <w:tcPr>
            <w:tcW w:w="1455" w:type="dxa"/>
            <w:tcBorders>
              <w:top w:val="nil"/>
              <w:left w:val="nil"/>
              <w:bottom w:val="single" w:sz="4" w:space="0" w:color="auto"/>
              <w:right w:val="single" w:sz="4" w:space="0" w:color="auto"/>
            </w:tcBorders>
            <w:shd w:val="clear" w:color="auto" w:fill="auto"/>
            <w:noWrap/>
            <w:vAlign w:val="center"/>
            <w:hideMark/>
          </w:tcPr>
          <w:p w14:paraId="551F118A" w14:textId="77777777" w:rsidR="00772287" w:rsidRPr="002340FA" w:rsidRDefault="00772287" w:rsidP="00D0295E">
            <w:pPr>
              <w:spacing w:after="0" w:line="240" w:lineRule="auto"/>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4805.19.10.00.00</w:t>
            </w:r>
          </w:p>
        </w:tc>
        <w:tc>
          <w:tcPr>
            <w:tcW w:w="7087" w:type="dxa"/>
            <w:tcBorders>
              <w:top w:val="nil"/>
              <w:left w:val="nil"/>
              <w:bottom w:val="single" w:sz="4" w:space="0" w:color="auto"/>
              <w:right w:val="single" w:sz="8" w:space="0" w:color="auto"/>
            </w:tcBorders>
            <w:shd w:val="clear" w:color="auto" w:fill="auto"/>
            <w:noWrap/>
            <w:vAlign w:val="center"/>
            <w:hideMark/>
          </w:tcPr>
          <w:p w14:paraId="23F0BA98" w14:textId="77777777" w:rsidR="00772287" w:rsidRPr="002340FA" w:rsidRDefault="00772287" w:rsidP="00D0295E">
            <w:pPr>
              <w:spacing w:after="0" w:line="240" w:lineRule="auto"/>
              <w:rPr>
                <w:rFonts w:ascii="Times New Roman" w:eastAsia="Times New Roman" w:hAnsi="Times New Roman" w:cs="Times New Roman"/>
                <w:color w:val="000033"/>
                <w:sz w:val="18"/>
                <w:szCs w:val="18"/>
                <w:lang w:eastAsia="tr-TR"/>
              </w:rPr>
            </w:pPr>
            <w:r w:rsidRPr="002340FA">
              <w:rPr>
                <w:rFonts w:ascii="Times New Roman" w:eastAsia="Times New Roman" w:hAnsi="Times New Roman" w:cs="Times New Roman"/>
                <w:color w:val="000033"/>
                <w:sz w:val="18"/>
                <w:szCs w:val="18"/>
                <w:lang w:eastAsia="tr-TR"/>
              </w:rPr>
              <w:t>İkincil elyaf (Wellenstoff)</w:t>
            </w:r>
          </w:p>
        </w:tc>
      </w:tr>
      <w:tr w:rsidR="00772287" w:rsidRPr="002340FA" w14:paraId="5850D560" w14:textId="77777777" w:rsidTr="00D0295E">
        <w:trPr>
          <w:trHeight w:val="315"/>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14:paraId="74D67F2D"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3</w:t>
            </w:r>
          </w:p>
        </w:tc>
        <w:tc>
          <w:tcPr>
            <w:tcW w:w="1455" w:type="dxa"/>
            <w:tcBorders>
              <w:top w:val="nil"/>
              <w:left w:val="nil"/>
              <w:bottom w:val="single" w:sz="4" w:space="0" w:color="auto"/>
              <w:right w:val="single" w:sz="4" w:space="0" w:color="auto"/>
            </w:tcBorders>
            <w:shd w:val="clear" w:color="auto" w:fill="auto"/>
            <w:noWrap/>
            <w:vAlign w:val="center"/>
            <w:hideMark/>
          </w:tcPr>
          <w:p w14:paraId="63D9CBAB" w14:textId="77777777" w:rsidR="00772287" w:rsidRPr="002340FA" w:rsidRDefault="00772287" w:rsidP="00D0295E">
            <w:pPr>
              <w:spacing w:after="0" w:line="240" w:lineRule="auto"/>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4805.19.90.00.00</w:t>
            </w:r>
          </w:p>
        </w:tc>
        <w:tc>
          <w:tcPr>
            <w:tcW w:w="7087" w:type="dxa"/>
            <w:tcBorders>
              <w:top w:val="nil"/>
              <w:left w:val="nil"/>
              <w:bottom w:val="single" w:sz="4" w:space="0" w:color="auto"/>
              <w:right w:val="single" w:sz="8" w:space="0" w:color="auto"/>
            </w:tcBorders>
            <w:shd w:val="clear" w:color="auto" w:fill="auto"/>
            <w:noWrap/>
            <w:vAlign w:val="center"/>
            <w:hideMark/>
          </w:tcPr>
          <w:p w14:paraId="356755BC" w14:textId="77777777" w:rsidR="00772287" w:rsidRPr="002340FA" w:rsidRDefault="00772287" w:rsidP="00D0295E">
            <w:pPr>
              <w:spacing w:after="0" w:line="240" w:lineRule="auto"/>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Diğerleri</w:t>
            </w:r>
          </w:p>
        </w:tc>
      </w:tr>
      <w:tr w:rsidR="00772287" w:rsidRPr="002340FA" w14:paraId="6258B4E5" w14:textId="77777777" w:rsidTr="00D0295E">
        <w:trPr>
          <w:trHeight w:val="315"/>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14:paraId="3016BA0A"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w:t>
            </w:r>
          </w:p>
        </w:tc>
        <w:tc>
          <w:tcPr>
            <w:tcW w:w="1455" w:type="dxa"/>
            <w:tcBorders>
              <w:top w:val="nil"/>
              <w:left w:val="nil"/>
              <w:bottom w:val="single" w:sz="4" w:space="0" w:color="auto"/>
              <w:right w:val="single" w:sz="4" w:space="0" w:color="auto"/>
            </w:tcBorders>
            <w:shd w:val="clear" w:color="auto" w:fill="auto"/>
            <w:noWrap/>
            <w:vAlign w:val="center"/>
            <w:hideMark/>
          </w:tcPr>
          <w:p w14:paraId="72EBD644" w14:textId="77777777" w:rsidR="00772287" w:rsidRPr="002340FA" w:rsidRDefault="00772287" w:rsidP="00D0295E">
            <w:pPr>
              <w:spacing w:after="0" w:line="240" w:lineRule="auto"/>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4805.24.00.00.00</w:t>
            </w:r>
          </w:p>
        </w:tc>
        <w:tc>
          <w:tcPr>
            <w:tcW w:w="7087" w:type="dxa"/>
            <w:tcBorders>
              <w:top w:val="nil"/>
              <w:left w:val="nil"/>
              <w:bottom w:val="single" w:sz="4" w:space="0" w:color="auto"/>
              <w:right w:val="single" w:sz="8" w:space="0" w:color="auto"/>
            </w:tcBorders>
            <w:shd w:val="clear" w:color="auto" w:fill="auto"/>
            <w:noWrap/>
            <w:vAlign w:val="center"/>
            <w:hideMark/>
          </w:tcPr>
          <w:p w14:paraId="5C87D73A" w14:textId="77777777" w:rsidR="00772287" w:rsidRPr="002340FA" w:rsidRDefault="00772287" w:rsidP="00D0295E">
            <w:pPr>
              <w:spacing w:after="0" w:line="240" w:lineRule="auto"/>
              <w:rPr>
                <w:rFonts w:ascii="Times New Roman" w:eastAsia="Times New Roman" w:hAnsi="Times New Roman" w:cs="Times New Roman"/>
                <w:color w:val="000033"/>
                <w:sz w:val="18"/>
                <w:szCs w:val="18"/>
                <w:lang w:eastAsia="tr-TR"/>
              </w:rPr>
            </w:pPr>
            <w:r w:rsidRPr="002340FA">
              <w:rPr>
                <w:rFonts w:ascii="Times New Roman" w:eastAsia="Times New Roman" w:hAnsi="Times New Roman" w:cs="Times New Roman"/>
                <w:color w:val="000033"/>
                <w:sz w:val="18"/>
                <w:szCs w:val="18"/>
                <w:lang w:eastAsia="tr-TR"/>
              </w:rPr>
              <w:t>m2 ağırlığı 150 gr.veya daha az olanlar</w:t>
            </w:r>
          </w:p>
        </w:tc>
      </w:tr>
      <w:tr w:rsidR="00772287" w:rsidRPr="002340FA" w14:paraId="4CBCD11B" w14:textId="77777777" w:rsidTr="00D0295E">
        <w:trPr>
          <w:trHeight w:val="330"/>
        </w:trPr>
        <w:tc>
          <w:tcPr>
            <w:tcW w:w="520" w:type="dxa"/>
            <w:tcBorders>
              <w:top w:val="nil"/>
              <w:left w:val="single" w:sz="8" w:space="0" w:color="auto"/>
              <w:bottom w:val="single" w:sz="8" w:space="0" w:color="auto"/>
              <w:right w:val="single" w:sz="4" w:space="0" w:color="auto"/>
            </w:tcBorders>
            <w:shd w:val="clear" w:color="auto" w:fill="auto"/>
            <w:noWrap/>
            <w:vAlign w:val="center"/>
            <w:hideMark/>
          </w:tcPr>
          <w:p w14:paraId="00209375"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5</w:t>
            </w:r>
          </w:p>
        </w:tc>
        <w:tc>
          <w:tcPr>
            <w:tcW w:w="1455" w:type="dxa"/>
            <w:tcBorders>
              <w:top w:val="nil"/>
              <w:left w:val="nil"/>
              <w:bottom w:val="single" w:sz="8" w:space="0" w:color="auto"/>
              <w:right w:val="single" w:sz="4" w:space="0" w:color="auto"/>
            </w:tcBorders>
            <w:shd w:val="clear" w:color="auto" w:fill="auto"/>
            <w:noWrap/>
            <w:vAlign w:val="center"/>
            <w:hideMark/>
          </w:tcPr>
          <w:p w14:paraId="7CC58FF2" w14:textId="77777777" w:rsidR="00772287" w:rsidRPr="002340FA" w:rsidRDefault="00772287" w:rsidP="00D0295E">
            <w:pPr>
              <w:spacing w:after="0" w:line="240" w:lineRule="auto"/>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4805.25.00.00.00</w:t>
            </w:r>
          </w:p>
        </w:tc>
        <w:tc>
          <w:tcPr>
            <w:tcW w:w="7087" w:type="dxa"/>
            <w:tcBorders>
              <w:top w:val="nil"/>
              <w:left w:val="nil"/>
              <w:bottom w:val="single" w:sz="8" w:space="0" w:color="auto"/>
              <w:right w:val="single" w:sz="8" w:space="0" w:color="auto"/>
            </w:tcBorders>
            <w:shd w:val="clear" w:color="auto" w:fill="auto"/>
            <w:noWrap/>
            <w:vAlign w:val="center"/>
            <w:hideMark/>
          </w:tcPr>
          <w:p w14:paraId="423029B5" w14:textId="77777777" w:rsidR="00772287" w:rsidRPr="002340FA" w:rsidRDefault="00772287" w:rsidP="00D0295E">
            <w:pPr>
              <w:spacing w:after="0" w:line="240" w:lineRule="auto"/>
              <w:rPr>
                <w:rFonts w:ascii="Times New Roman" w:eastAsia="Times New Roman" w:hAnsi="Times New Roman" w:cs="Times New Roman"/>
                <w:color w:val="000033"/>
                <w:sz w:val="18"/>
                <w:szCs w:val="18"/>
                <w:lang w:eastAsia="tr-TR"/>
              </w:rPr>
            </w:pPr>
            <w:r w:rsidRPr="002340FA">
              <w:rPr>
                <w:rFonts w:ascii="Times New Roman" w:eastAsia="Times New Roman" w:hAnsi="Times New Roman" w:cs="Times New Roman"/>
                <w:color w:val="000033"/>
                <w:sz w:val="18"/>
                <w:szCs w:val="18"/>
                <w:lang w:eastAsia="tr-TR"/>
              </w:rPr>
              <w:t>m2 ağırlığı 150 gr. dan fazla olanlar</w:t>
            </w:r>
          </w:p>
        </w:tc>
      </w:tr>
    </w:tbl>
    <w:p w14:paraId="02AED62C" w14:textId="77777777" w:rsidR="00772287" w:rsidRPr="002340FA" w:rsidRDefault="00772287" w:rsidP="00772287">
      <w:pPr>
        <w:spacing w:after="180" w:line="300" w:lineRule="exact"/>
        <w:jc w:val="both"/>
        <w:rPr>
          <w:rFonts w:ascii="Times New Roman" w:hAnsi="Times New Roman" w:cs="Times New Roman"/>
          <w:b/>
          <w:bCs/>
          <w:sz w:val="24"/>
          <w:szCs w:val="24"/>
        </w:rPr>
      </w:pPr>
    </w:p>
    <w:p w14:paraId="085B15E7"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2.2 Soruşturma kapsamında bulunan eşyada muafiyet talepleri</w:t>
      </w:r>
    </w:p>
    <w:p w14:paraId="2963F013"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lastRenderedPageBreak/>
        <w:t>Soruşturma sürecinde ithalatçı yerli firmalar tarafından 4805.11 GTP’li ve “yarı kimyasal odun selülozlu ondüle (fluting) kâğıdı” tanımlı eşyanın bazı özel kalite ve teknik özelliklere sahip olduğu, Türkiye’de üretiminin bulunmadığı veya yeterli düzeyde üretiminin olmadığı belirtilerek bahse konu eşyanın soruşturma kapsamından çıkarılması ve korunma önlemi uygulanmaması talep edilmiştir.</w:t>
      </w:r>
    </w:p>
    <w:p w14:paraId="79FDD95D"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 çerçevede, soruşturma kapsamından çıkarılması talep edilen GTP kodu, tanımı ve teknik özellikleri belirtilen eşyaya yönelik yurtiçi üretim ve kapasite durumuna ilişkin yapılan inceleme sonucunda belirli teknik özelliklere sahip eşyanın Türkiye’de üretiminin olmadığı anlaşılmış olup söz konusu eşyaya ilişkin muafiyet talebi, kullanıcı sektörlerin üretimlerinin aksamamasını teminen değerlendirmeye alınarak soruşturma kapsamı dışında bırakılmıştır.</w:t>
      </w:r>
    </w:p>
    <w:p w14:paraId="1A88B8E4"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2.3 Soruşturma konusu ürünün üretim süreci ve benzer/doğrudan rakip ürün tespiti</w:t>
      </w:r>
    </w:p>
    <w:p w14:paraId="0A29B482"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Fluting kâğıt, dayanıklılığı artırmak için karton kutuların üretiminde kullanılan bir tür dalgalı kartondur. Dalgalı karton kutuların iç kısmında yer alan dalgalı tabakalar fluting kağıdından yapılmaktadır. Fluting kâğıdın üzerindeki dalgalı tabakalar arasında boşluklar bulunur ve bu boşluklar, kutunun esnekliğini ve darbelere karşı dayanıklılığını sağlar. Fluting kağıtlar genellikle geri dönüştürülmüş selülozdan üretilir ve geri dönüştürme sürecinde kolayca yeniden kullanılabilir.</w:t>
      </w:r>
    </w:p>
    <w:p w14:paraId="7CFEA31C"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Testlayner kâğıt, genellikle karton kutuların dış yüzeylerinde kullanılan bir tür kaplama kağıdıdır, genellikle iki katmandan oluşur: Üst katman, düzgün bir yüzey sağlamak için daha düşük lif içeriğine sahipken, alt katman daha dalgalı ve dayanıklı olacak şekilde tasarlanmıştır. Ana kullanım alanı karton ambalaj malzemeleridir. Çeşitli boyutlarda ve kalınlıklarda olabilen testlayner, baskılı veya baskısız olarak tercih edilebilir. Kalitesi, dayanıklılığı ve ekonomik maliyeti nedeniyle yaygın olarak kullanılan bir ambalaj malzemesidir. Çoğunlukla geri dönüştürülmüş selülozdan üretilen ve üzerine yapıştırılabilen veya lamine edilebilen bir tür kraft kağıttır.</w:t>
      </w:r>
    </w:p>
    <w:p w14:paraId="4FC458BD"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Geri dönüşüm yoluyla elde edilen elyaf, kâğıt hamuru endüstrisi için hammadde niteliğini haiz bir üründür. Geri dönüştürülerek elde edilen elyaf piyasadaki selüloz hamura göre uygun fiyatı ve atık kâğıt geri dönüşümünün teşvik edilmesiyle birlikte toplam hammaddelerin yaklaşık üçte birini oluşturur hale gelmiştir. Elyaf üretiminde üretilecek kâğıdın dayanıklılığı ve diğer özelliklerine katkı sağlamak amacıyla belli oranlarda yardımcı kimyasallar kullanılması da gereklidir.</w:t>
      </w:r>
    </w:p>
    <w:p w14:paraId="3A8D3655"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Geri dönüştürülen kâğıdın etkin kullanımı için atık kâğıdı uygun kalite standartlarında toplamak ve sınıflandırmak gerekir. Bu nedenle, toplanan atık kâğıt, geri dönüşüm tesislerinde plastik, cam, metal vb. kâğıt dışı maddelerden mümkün olduğu kadar ayıklanır. Ayıklanan geri kazanılmış kâğıt genellikle balya presleri tarafından sıkıştırılarak balyalar halinde endüstriyel tesislere gönderilir.</w:t>
      </w:r>
    </w:p>
    <w:p w14:paraId="566A3564"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 xml:space="preserve">Öncelikle geri dönüştürülmüş atık kâğıt edinilir. Sonrasında, mekanik veya kimyasal yollarla kâğıt hamuru hazırlanır. Hazırlanan hamur, bir dizi makine tarafından işlenir ve düz kâğıt yaprakları oluşturulur. Bu aşamada, kâğıt özellikle kalınlık ve yoğunluk açısından belirli özelliklere sahip olacak şekilde ayarlanabilir. Oluşturulan düz kâğıt yaprakları arasına fluting katman eklenir. Bu katman genellikle dalgalı bir yapıya sahiptir ve mukavvanın dayanıklılığını artırır. Kâğıt, genellikle büyük kurutma makinalarında kurutulur. Bu aşama, kâğıdın istenen </w:t>
      </w:r>
      <w:r w:rsidRPr="002340FA">
        <w:rPr>
          <w:rFonts w:ascii="Times New Roman" w:hAnsi="Times New Roman" w:cs="Times New Roman"/>
          <w:sz w:val="24"/>
          <w:szCs w:val="24"/>
        </w:rPr>
        <w:lastRenderedPageBreak/>
        <w:t>nemi ve dayanıklılığına ulaşmasını sağlar. Kuruyan kâğıt, belirli genişlikteki rulolara kesilir. Bu rulolar daha sonra kullanılmak üzere depolanır. Üretilen fluting kâğıdı, müşteri taleplerine ve uygulama gereksinimlerine göre çeşitli son işlemlerden geçebilir. Bu işlemler, örneğin yüzey kaplaması veya baskı içerebilir. Özetle, genel üretim süreçleri benzerdir, ancak ürünlerin belirli özellikleri ve uygulamaları için gereken özelliklerde farklılıklar olabilir. Her iki kâğıdın da mukavva üretiminde kullanılmasının temel nedeni, dayanıklılıklarını artırmak ve ambalaj malzemeleri olarak kullanılabilecek sağlam kartonları elde etmektir.</w:t>
      </w:r>
    </w:p>
    <w:p w14:paraId="438F275A"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Soruşturma konusu ürünün yerli ve ithal olanları arasında üretim süreci, teknik özellikler, dağıtım kanalları ve kullanıcı/tüketici tercihleri açısından farklılık bulunmamaktadır. İthal ve yerli ürünler birbirlerinin yerine kullanılabilmekte ve fiziksel-kimyasal özellikleri, teknolojileri benzerlik göstermektedir. Ayrıca, yerli üretim dalı ithal edilen ürünlerin çok büyük çoğunluğunu üretebildiğinden ithal ve yerli ürünler rakip ürünlerdir. Bu faktörler göz önüne alındığında yerli üretilen kağıtlar ile ithal edilenler benzer ürün olarak değerlendirilmektedir.</w:t>
      </w:r>
    </w:p>
    <w:p w14:paraId="65E5825B"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2.4 Soruşturma konusu eşyanın ithalatında uygulanan mevzuat</w:t>
      </w:r>
    </w:p>
    <w:p w14:paraId="30C6D505"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Soruşturma konusu eşya ithalatında 2024 yılı İthalat Rejimi Kararı kapsamında %0 oranında gümrük vergisi, Avrupa Birliği ve Serbest Ticaret Anlaşması (STA) ülkeleri hariç ise %10 oranında ilave gümrük vergisi uygulanmaktadır. İthalatta alınan KDV oranı %20 seviyesindedir.</w:t>
      </w:r>
    </w:p>
    <w:p w14:paraId="56E6F33D" w14:textId="38143CEF"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Ayrıca, ilgili eşyanın ithalatında</w:t>
      </w:r>
      <w:r w:rsidR="00205D48">
        <w:rPr>
          <w:rFonts w:ascii="Times New Roman" w:hAnsi="Times New Roman" w:cs="Times New Roman"/>
          <w:sz w:val="24"/>
          <w:szCs w:val="24"/>
        </w:rPr>
        <w:t xml:space="preserve"> 31/12/2023 tarihli ve 32416 dördüncü mükerrer sayılı Resmî Gazete’de yayımlanan Tarım ve Orman Bakanlığının Kontrolüne Tabi Ürünlerin İthalat Denetim</w:t>
      </w:r>
      <w:r w:rsidR="00F47FF2">
        <w:rPr>
          <w:rFonts w:ascii="Times New Roman" w:hAnsi="Times New Roman" w:cs="Times New Roman"/>
          <w:sz w:val="24"/>
          <w:szCs w:val="24"/>
        </w:rPr>
        <w:t>i</w:t>
      </w:r>
      <w:r w:rsidR="00205D48">
        <w:rPr>
          <w:rFonts w:ascii="Times New Roman" w:hAnsi="Times New Roman" w:cs="Times New Roman"/>
          <w:sz w:val="24"/>
          <w:szCs w:val="24"/>
        </w:rPr>
        <w:t xml:space="preserve"> Tebliği (Ürün Güvenliği ve Denetimi</w:t>
      </w:r>
      <w:r w:rsidRPr="002340FA">
        <w:rPr>
          <w:rFonts w:ascii="Times New Roman" w:hAnsi="Times New Roman" w:cs="Times New Roman"/>
          <w:sz w:val="24"/>
          <w:szCs w:val="24"/>
        </w:rPr>
        <w:t xml:space="preserve"> 2024/5</w:t>
      </w:r>
      <w:r w:rsidR="00205D48">
        <w:rPr>
          <w:rFonts w:ascii="Times New Roman" w:hAnsi="Times New Roman" w:cs="Times New Roman"/>
          <w:sz w:val="24"/>
          <w:szCs w:val="24"/>
        </w:rPr>
        <w:t>)</w:t>
      </w:r>
      <w:r w:rsidRPr="002340FA">
        <w:rPr>
          <w:rFonts w:ascii="Times New Roman" w:hAnsi="Times New Roman" w:cs="Times New Roman"/>
          <w:sz w:val="24"/>
          <w:szCs w:val="24"/>
        </w:rPr>
        <w:t xml:space="preserve"> kapsamında gıda ve yem sanayinde kullanılan bitkisel ürünler ve gıda ile temas eden madde ve malzemeler için Tarım ve Orman Bakanlığı’ndan alınacak uygunluk belgesi aranmaktadır.</w:t>
      </w:r>
    </w:p>
    <w:p w14:paraId="750E3D81"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Söz konusu eşyanın ithalatında uygulanmakta olan vergilere ilişkin detaylı bilgiler aşağıda yer alan tabloda gösterilmektedir.</w:t>
      </w:r>
    </w:p>
    <w:tbl>
      <w:tblPr>
        <w:tblW w:w="9100" w:type="dxa"/>
        <w:tblCellMar>
          <w:left w:w="70" w:type="dxa"/>
          <w:right w:w="70" w:type="dxa"/>
        </w:tblCellMar>
        <w:tblLook w:val="04A0" w:firstRow="1" w:lastRow="0" w:firstColumn="1" w:lastColumn="0" w:noHBand="0" w:noVBand="1"/>
      </w:tblPr>
      <w:tblGrid>
        <w:gridCol w:w="471"/>
        <w:gridCol w:w="1532"/>
        <w:gridCol w:w="556"/>
        <w:gridCol w:w="641"/>
        <w:gridCol w:w="884"/>
        <w:gridCol w:w="970"/>
        <w:gridCol w:w="524"/>
        <w:gridCol w:w="899"/>
        <w:gridCol w:w="682"/>
        <w:gridCol w:w="682"/>
        <w:gridCol w:w="418"/>
        <w:gridCol w:w="841"/>
      </w:tblGrid>
      <w:tr w:rsidR="00772287" w:rsidRPr="002340FA" w14:paraId="5A930010" w14:textId="77777777" w:rsidTr="00D0295E">
        <w:trPr>
          <w:trHeight w:val="120"/>
        </w:trPr>
        <w:tc>
          <w:tcPr>
            <w:tcW w:w="8259" w:type="dxa"/>
            <w:gridSpan w:val="11"/>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E5A6F9B"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Gümrük Vergileri (%)</w:t>
            </w:r>
          </w:p>
        </w:tc>
        <w:tc>
          <w:tcPr>
            <w:tcW w:w="841" w:type="dxa"/>
            <w:vMerge w:val="restart"/>
            <w:tcBorders>
              <w:top w:val="single" w:sz="8" w:space="0" w:color="auto"/>
              <w:left w:val="single" w:sz="4" w:space="0" w:color="auto"/>
              <w:bottom w:val="single" w:sz="4" w:space="0" w:color="000000"/>
              <w:right w:val="single" w:sz="8" w:space="0" w:color="auto"/>
            </w:tcBorders>
            <w:shd w:val="clear" w:color="auto" w:fill="auto"/>
            <w:vAlign w:val="center"/>
            <w:hideMark/>
          </w:tcPr>
          <w:p w14:paraId="2E785CF5"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İlave Gümrük Vergisi (%)</w:t>
            </w:r>
            <w:r w:rsidRPr="002340FA">
              <w:rPr>
                <w:rFonts w:ascii="Times New Roman" w:eastAsia="Times New Roman" w:hAnsi="Times New Roman" w:cs="Times New Roman"/>
                <w:b/>
                <w:bCs/>
                <w:color w:val="000000"/>
                <w:sz w:val="18"/>
                <w:szCs w:val="18"/>
                <w:lang w:eastAsia="tr-TR"/>
              </w:rPr>
              <w:br/>
              <w:t>AB-STA Ülkeleri Hariç</w:t>
            </w:r>
          </w:p>
        </w:tc>
      </w:tr>
      <w:tr w:rsidR="00772287" w:rsidRPr="002340FA" w14:paraId="06A3FCB8" w14:textId="77777777" w:rsidTr="00D0295E">
        <w:trPr>
          <w:trHeight w:val="484"/>
        </w:trPr>
        <w:tc>
          <w:tcPr>
            <w:tcW w:w="471" w:type="dxa"/>
            <w:tcBorders>
              <w:top w:val="nil"/>
              <w:left w:val="single" w:sz="8" w:space="0" w:color="auto"/>
              <w:bottom w:val="single" w:sz="4" w:space="0" w:color="auto"/>
              <w:right w:val="single" w:sz="4" w:space="0" w:color="auto"/>
            </w:tcBorders>
            <w:shd w:val="clear" w:color="auto" w:fill="auto"/>
            <w:noWrap/>
            <w:vAlign w:val="center"/>
            <w:hideMark/>
          </w:tcPr>
          <w:p w14:paraId="54765694"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Sıra</w:t>
            </w:r>
          </w:p>
        </w:tc>
        <w:tc>
          <w:tcPr>
            <w:tcW w:w="1532" w:type="dxa"/>
            <w:tcBorders>
              <w:top w:val="nil"/>
              <w:left w:val="nil"/>
              <w:bottom w:val="single" w:sz="4" w:space="0" w:color="auto"/>
              <w:right w:val="single" w:sz="4" w:space="0" w:color="auto"/>
            </w:tcBorders>
            <w:shd w:val="clear" w:color="auto" w:fill="auto"/>
            <w:noWrap/>
            <w:vAlign w:val="center"/>
            <w:hideMark/>
          </w:tcPr>
          <w:p w14:paraId="5AE453C4"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GTİP</w:t>
            </w:r>
          </w:p>
        </w:tc>
        <w:tc>
          <w:tcPr>
            <w:tcW w:w="556" w:type="dxa"/>
            <w:tcBorders>
              <w:top w:val="nil"/>
              <w:left w:val="nil"/>
              <w:bottom w:val="single" w:sz="4" w:space="0" w:color="auto"/>
              <w:right w:val="single" w:sz="4" w:space="0" w:color="auto"/>
            </w:tcBorders>
            <w:shd w:val="clear" w:color="auto" w:fill="auto"/>
            <w:vAlign w:val="center"/>
            <w:hideMark/>
          </w:tcPr>
          <w:p w14:paraId="046E648B"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KDV</w:t>
            </w:r>
            <w:r w:rsidRPr="002340FA">
              <w:rPr>
                <w:rFonts w:ascii="Times New Roman" w:eastAsia="Times New Roman" w:hAnsi="Times New Roman" w:cs="Times New Roman"/>
                <w:b/>
                <w:bCs/>
                <w:color w:val="000000"/>
                <w:sz w:val="18"/>
                <w:szCs w:val="18"/>
                <w:lang w:eastAsia="tr-TR"/>
              </w:rPr>
              <w:br/>
              <w:t>(%)</w:t>
            </w:r>
          </w:p>
        </w:tc>
        <w:tc>
          <w:tcPr>
            <w:tcW w:w="641" w:type="dxa"/>
            <w:tcBorders>
              <w:top w:val="nil"/>
              <w:left w:val="nil"/>
              <w:bottom w:val="single" w:sz="4" w:space="0" w:color="auto"/>
              <w:right w:val="single" w:sz="4" w:space="0" w:color="auto"/>
            </w:tcBorders>
            <w:shd w:val="clear" w:color="auto" w:fill="auto"/>
            <w:vAlign w:val="center"/>
            <w:hideMark/>
          </w:tcPr>
          <w:p w14:paraId="1A13CFE9"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AB-EFTA</w:t>
            </w:r>
            <w:r w:rsidRPr="002340FA">
              <w:rPr>
                <w:rFonts w:ascii="Times New Roman" w:eastAsia="Times New Roman" w:hAnsi="Times New Roman" w:cs="Times New Roman"/>
                <w:b/>
                <w:bCs/>
                <w:color w:val="000000"/>
                <w:sz w:val="18"/>
                <w:szCs w:val="18"/>
                <w:lang w:eastAsia="tr-TR"/>
              </w:rPr>
              <w:br/>
              <w:t>STA-TTA</w:t>
            </w:r>
          </w:p>
        </w:tc>
        <w:tc>
          <w:tcPr>
            <w:tcW w:w="884" w:type="dxa"/>
            <w:tcBorders>
              <w:top w:val="nil"/>
              <w:left w:val="nil"/>
              <w:bottom w:val="single" w:sz="4" w:space="0" w:color="auto"/>
              <w:right w:val="single" w:sz="4" w:space="0" w:color="auto"/>
            </w:tcBorders>
            <w:shd w:val="clear" w:color="auto" w:fill="auto"/>
            <w:noWrap/>
            <w:vAlign w:val="center"/>
            <w:hideMark/>
          </w:tcPr>
          <w:p w14:paraId="051BE5F4"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Singapur</w:t>
            </w:r>
          </w:p>
        </w:tc>
        <w:tc>
          <w:tcPr>
            <w:tcW w:w="970" w:type="dxa"/>
            <w:tcBorders>
              <w:top w:val="nil"/>
              <w:left w:val="nil"/>
              <w:bottom w:val="single" w:sz="4" w:space="0" w:color="auto"/>
              <w:right w:val="single" w:sz="4" w:space="0" w:color="auto"/>
            </w:tcBorders>
            <w:shd w:val="clear" w:color="auto" w:fill="auto"/>
            <w:noWrap/>
            <w:vAlign w:val="center"/>
            <w:hideMark/>
          </w:tcPr>
          <w:p w14:paraId="1A517FFC"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Venezuela</w:t>
            </w:r>
          </w:p>
        </w:tc>
        <w:tc>
          <w:tcPr>
            <w:tcW w:w="524" w:type="dxa"/>
            <w:tcBorders>
              <w:top w:val="nil"/>
              <w:left w:val="nil"/>
              <w:bottom w:val="single" w:sz="4" w:space="0" w:color="auto"/>
              <w:right w:val="single" w:sz="4" w:space="0" w:color="auto"/>
            </w:tcBorders>
            <w:shd w:val="clear" w:color="auto" w:fill="auto"/>
            <w:noWrap/>
            <w:vAlign w:val="center"/>
            <w:hideMark/>
          </w:tcPr>
          <w:p w14:paraId="43A79ED1"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BAE</w:t>
            </w:r>
          </w:p>
        </w:tc>
        <w:tc>
          <w:tcPr>
            <w:tcW w:w="899" w:type="dxa"/>
            <w:tcBorders>
              <w:top w:val="nil"/>
              <w:left w:val="nil"/>
              <w:bottom w:val="single" w:sz="4" w:space="0" w:color="auto"/>
              <w:right w:val="single" w:sz="4" w:space="0" w:color="auto"/>
            </w:tcBorders>
            <w:shd w:val="clear" w:color="auto" w:fill="auto"/>
            <w:noWrap/>
            <w:vAlign w:val="center"/>
            <w:hideMark/>
          </w:tcPr>
          <w:p w14:paraId="1084A194"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TPS-OIC</w:t>
            </w:r>
          </w:p>
        </w:tc>
        <w:tc>
          <w:tcPr>
            <w:tcW w:w="682" w:type="dxa"/>
            <w:tcBorders>
              <w:top w:val="nil"/>
              <w:left w:val="nil"/>
              <w:bottom w:val="single" w:sz="4" w:space="0" w:color="auto"/>
              <w:right w:val="single" w:sz="4" w:space="0" w:color="auto"/>
            </w:tcBorders>
            <w:shd w:val="clear" w:color="auto" w:fill="auto"/>
            <w:noWrap/>
            <w:vAlign w:val="center"/>
            <w:hideMark/>
          </w:tcPr>
          <w:p w14:paraId="4B376296"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EAGÜ</w:t>
            </w:r>
          </w:p>
        </w:tc>
        <w:tc>
          <w:tcPr>
            <w:tcW w:w="682" w:type="dxa"/>
            <w:tcBorders>
              <w:top w:val="nil"/>
              <w:left w:val="nil"/>
              <w:bottom w:val="single" w:sz="4" w:space="0" w:color="auto"/>
              <w:right w:val="single" w:sz="4" w:space="0" w:color="auto"/>
            </w:tcBorders>
            <w:shd w:val="clear" w:color="auto" w:fill="auto"/>
            <w:noWrap/>
            <w:vAlign w:val="center"/>
            <w:hideMark/>
          </w:tcPr>
          <w:p w14:paraId="26CDFAB2"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ÖTDÜ</w:t>
            </w:r>
          </w:p>
        </w:tc>
        <w:tc>
          <w:tcPr>
            <w:tcW w:w="413" w:type="dxa"/>
            <w:tcBorders>
              <w:top w:val="nil"/>
              <w:left w:val="nil"/>
              <w:bottom w:val="single" w:sz="4" w:space="0" w:color="auto"/>
              <w:right w:val="single" w:sz="4" w:space="0" w:color="auto"/>
            </w:tcBorders>
            <w:shd w:val="clear" w:color="auto" w:fill="auto"/>
            <w:noWrap/>
            <w:vAlign w:val="center"/>
            <w:hideMark/>
          </w:tcPr>
          <w:p w14:paraId="47174F36"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DÜ</w:t>
            </w:r>
          </w:p>
        </w:tc>
        <w:tc>
          <w:tcPr>
            <w:tcW w:w="841" w:type="dxa"/>
            <w:vMerge/>
            <w:tcBorders>
              <w:top w:val="single" w:sz="8" w:space="0" w:color="auto"/>
              <w:left w:val="single" w:sz="4" w:space="0" w:color="auto"/>
              <w:bottom w:val="single" w:sz="4" w:space="0" w:color="000000"/>
              <w:right w:val="single" w:sz="8" w:space="0" w:color="auto"/>
            </w:tcBorders>
            <w:vAlign w:val="center"/>
            <w:hideMark/>
          </w:tcPr>
          <w:p w14:paraId="6446AE92" w14:textId="77777777" w:rsidR="00772287" w:rsidRPr="002340FA" w:rsidRDefault="00772287" w:rsidP="00D0295E">
            <w:pPr>
              <w:spacing w:after="0" w:line="240" w:lineRule="auto"/>
              <w:rPr>
                <w:rFonts w:ascii="Times New Roman" w:eastAsia="Times New Roman" w:hAnsi="Times New Roman" w:cs="Times New Roman"/>
                <w:b/>
                <w:bCs/>
                <w:color w:val="000000"/>
                <w:sz w:val="18"/>
                <w:szCs w:val="18"/>
                <w:lang w:eastAsia="tr-TR"/>
              </w:rPr>
            </w:pPr>
          </w:p>
        </w:tc>
      </w:tr>
      <w:tr w:rsidR="00772287" w:rsidRPr="002340FA" w14:paraId="1729B2AD" w14:textId="77777777" w:rsidTr="00D0295E">
        <w:trPr>
          <w:trHeight w:val="120"/>
        </w:trPr>
        <w:tc>
          <w:tcPr>
            <w:tcW w:w="471" w:type="dxa"/>
            <w:tcBorders>
              <w:top w:val="nil"/>
              <w:left w:val="single" w:sz="8" w:space="0" w:color="auto"/>
              <w:bottom w:val="single" w:sz="4" w:space="0" w:color="auto"/>
              <w:right w:val="single" w:sz="4" w:space="0" w:color="auto"/>
            </w:tcBorders>
            <w:shd w:val="clear" w:color="auto" w:fill="auto"/>
            <w:noWrap/>
            <w:vAlign w:val="center"/>
            <w:hideMark/>
          </w:tcPr>
          <w:p w14:paraId="5C22E4FA"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1</w:t>
            </w:r>
          </w:p>
        </w:tc>
        <w:tc>
          <w:tcPr>
            <w:tcW w:w="1532" w:type="dxa"/>
            <w:tcBorders>
              <w:top w:val="nil"/>
              <w:left w:val="nil"/>
              <w:bottom w:val="single" w:sz="4" w:space="0" w:color="auto"/>
              <w:right w:val="single" w:sz="4" w:space="0" w:color="auto"/>
            </w:tcBorders>
            <w:shd w:val="clear" w:color="auto" w:fill="auto"/>
            <w:noWrap/>
            <w:vAlign w:val="center"/>
            <w:hideMark/>
          </w:tcPr>
          <w:p w14:paraId="41B72542"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4805.12.00.00.00</w:t>
            </w:r>
          </w:p>
        </w:tc>
        <w:tc>
          <w:tcPr>
            <w:tcW w:w="556" w:type="dxa"/>
            <w:tcBorders>
              <w:top w:val="nil"/>
              <w:left w:val="nil"/>
              <w:bottom w:val="single" w:sz="4" w:space="0" w:color="auto"/>
              <w:right w:val="single" w:sz="4" w:space="0" w:color="auto"/>
            </w:tcBorders>
            <w:shd w:val="clear" w:color="auto" w:fill="auto"/>
            <w:noWrap/>
            <w:vAlign w:val="center"/>
            <w:hideMark/>
          </w:tcPr>
          <w:p w14:paraId="2A1D3809"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20</w:t>
            </w:r>
          </w:p>
        </w:tc>
        <w:tc>
          <w:tcPr>
            <w:tcW w:w="641" w:type="dxa"/>
            <w:tcBorders>
              <w:top w:val="nil"/>
              <w:left w:val="nil"/>
              <w:bottom w:val="single" w:sz="4" w:space="0" w:color="auto"/>
              <w:right w:val="single" w:sz="4" w:space="0" w:color="auto"/>
            </w:tcBorders>
            <w:shd w:val="clear" w:color="auto" w:fill="auto"/>
            <w:noWrap/>
            <w:vAlign w:val="center"/>
            <w:hideMark/>
          </w:tcPr>
          <w:p w14:paraId="3DFB69B1"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84" w:type="dxa"/>
            <w:tcBorders>
              <w:top w:val="nil"/>
              <w:left w:val="nil"/>
              <w:bottom w:val="single" w:sz="4" w:space="0" w:color="auto"/>
              <w:right w:val="single" w:sz="4" w:space="0" w:color="auto"/>
            </w:tcBorders>
            <w:shd w:val="clear" w:color="auto" w:fill="auto"/>
            <w:noWrap/>
            <w:vAlign w:val="center"/>
            <w:hideMark/>
          </w:tcPr>
          <w:p w14:paraId="71127C85"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970" w:type="dxa"/>
            <w:tcBorders>
              <w:top w:val="nil"/>
              <w:left w:val="nil"/>
              <w:bottom w:val="single" w:sz="4" w:space="0" w:color="auto"/>
              <w:right w:val="single" w:sz="4" w:space="0" w:color="auto"/>
            </w:tcBorders>
            <w:shd w:val="clear" w:color="auto" w:fill="auto"/>
            <w:noWrap/>
            <w:vAlign w:val="center"/>
            <w:hideMark/>
          </w:tcPr>
          <w:p w14:paraId="6D3FF69F"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524" w:type="dxa"/>
            <w:tcBorders>
              <w:top w:val="nil"/>
              <w:left w:val="nil"/>
              <w:bottom w:val="single" w:sz="4" w:space="0" w:color="auto"/>
              <w:right w:val="single" w:sz="4" w:space="0" w:color="auto"/>
            </w:tcBorders>
            <w:shd w:val="clear" w:color="auto" w:fill="auto"/>
            <w:noWrap/>
            <w:vAlign w:val="center"/>
            <w:hideMark/>
          </w:tcPr>
          <w:p w14:paraId="49E518CA"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99" w:type="dxa"/>
            <w:tcBorders>
              <w:top w:val="nil"/>
              <w:left w:val="nil"/>
              <w:bottom w:val="single" w:sz="4" w:space="0" w:color="auto"/>
              <w:right w:val="single" w:sz="4" w:space="0" w:color="auto"/>
            </w:tcBorders>
            <w:shd w:val="clear" w:color="auto" w:fill="auto"/>
            <w:noWrap/>
            <w:vAlign w:val="center"/>
            <w:hideMark/>
          </w:tcPr>
          <w:p w14:paraId="74F4CDEE"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682" w:type="dxa"/>
            <w:tcBorders>
              <w:top w:val="nil"/>
              <w:left w:val="nil"/>
              <w:bottom w:val="single" w:sz="4" w:space="0" w:color="auto"/>
              <w:right w:val="single" w:sz="4" w:space="0" w:color="auto"/>
            </w:tcBorders>
            <w:shd w:val="clear" w:color="auto" w:fill="auto"/>
            <w:noWrap/>
            <w:vAlign w:val="center"/>
            <w:hideMark/>
          </w:tcPr>
          <w:p w14:paraId="6E8D076A"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682" w:type="dxa"/>
            <w:tcBorders>
              <w:top w:val="nil"/>
              <w:left w:val="nil"/>
              <w:bottom w:val="single" w:sz="4" w:space="0" w:color="auto"/>
              <w:right w:val="single" w:sz="4" w:space="0" w:color="auto"/>
            </w:tcBorders>
            <w:shd w:val="clear" w:color="auto" w:fill="auto"/>
            <w:noWrap/>
            <w:vAlign w:val="center"/>
            <w:hideMark/>
          </w:tcPr>
          <w:p w14:paraId="33625356"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413" w:type="dxa"/>
            <w:tcBorders>
              <w:top w:val="nil"/>
              <w:left w:val="nil"/>
              <w:bottom w:val="single" w:sz="4" w:space="0" w:color="auto"/>
              <w:right w:val="single" w:sz="4" w:space="0" w:color="auto"/>
            </w:tcBorders>
            <w:shd w:val="clear" w:color="auto" w:fill="auto"/>
            <w:noWrap/>
            <w:vAlign w:val="center"/>
            <w:hideMark/>
          </w:tcPr>
          <w:p w14:paraId="5E23DE63"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41" w:type="dxa"/>
            <w:tcBorders>
              <w:top w:val="nil"/>
              <w:left w:val="nil"/>
              <w:bottom w:val="single" w:sz="4" w:space="0" w:color="auto"/>
              <w:right w:val="single" w:sz="8" w:space="0" w:color="auto"/>
            </w:tcBorders>
            <w:shd w:val="clear" w:color="auto" w:fill="auto"/>
            <w:noWrap/>
            <w:vAlign w:val="center"/>
            <w:hideMark/>
          </w:tcPr>
          <w:p w14:paraId="21175522"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10</w:t>
            </w:r>
          </w:p>
        </w:tc>
      </w:tr>
      <w:tr w:rsidR="00772287" w:rsidRPr="002340FA" w14:paraId="5006AFA9" w14:textId="77777777" w:rsidTr="00D0295E">
        <w:trPr>
          <w:trHeight w:val="120"/>
        </w:trPr>
        <w:tc>
          <w:tcPr>
            <w:tcW w:w="471" w:type="dxa"/>
            <w:tcBorders>
              <w:top w:val="nil"/>
              <w:left w:val="single" w:sz="8" w:space="0" w:color="auto"/>
              <w:bottom w:val="single" w:sz="4" w:space="0" w:color="auto"/>
              <w:right w:val="single" w:sz="4" w:space="0" w:color="auto"/>
            </w:tcBorders>
            <w:shd w:val="clear" w:color="auto" w:fill="auto"/>
            <w:noWrap/>
            <w:vAlign w:val="center"/>
            <w:hideMark/>
          </w:tcPr>
          <w:p w14:paraId="35B8489A"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2</w:t>
            </w:r>
          </w:p>
        </w:tc>
        <w:tc>
          <w:tcPr>
            <w:tcW w:w="1532" w:type="dxa"/>
            <w:tcBorders>
              <w:top w:val="nil"/>
              <w:left w:val="nil"/>
              <w:bottom w:val="single" w:sz="4" w:space="0" w:color="auto"/>
              <w:right w:val="single" w:sz="4" w:space="0" w:color="auto"/>
            </w:tcBorders>
            <w:shd w:val="clear" w:color="auto" w:fill="auto"/>
            <w:noWrap/>
            <w:vAlign w:val="center"/>
            <w:hideMark/>
          </w:tcPr>
          <w:p w14:paraId="79C606CC"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4805.19.10.00.00</w:t>
            </w:r>
          </w:p>
        </w:tc>
        <w:tc>
          <w:tcPr>
            <w:tcW w:w="556" w:type="dxa"/>
            <w:tcBorders>
              <w:top w:val="nil"/>
              <w:left w:val="nil"/>
              <w:bottom w:val="single" w:sz="4" w:space="0" w:color="auto"/>
              <w:right w:val="single" w:sz="4" w:space="0" w:color="auto"/>
            </w:tcBorders>
            <w:shd w:val="clear" w:color="auto" w:fill="auto"/>
            <w:noWrap/>
            <w:vAlign w:val="center"/>
            <w:hideMark/>
          </w:tcPr>
          <w:p w14:paraId="3CFFAB8F"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20</w:t>
            </w:r>
          </w:p>
        </w:tc>
        <w:tc>
          <w:tcPr>
            <w:tcW w:w="641" w:type="dxa"/>
            <w:tcBorders>
              <w:top w:val="nil"/>
              <w:left w:val="nil"/>
              <w:bottom w:val="single" w:sz="4" w:space="0" w:color="auto"/>
              <w:right w:val="single" w:sz="4" w:space="0" w:color="auto"/>
            </w:tcBorders>
            <w:shd w:val="clear" w:color="auto" w:fill="auto"/>
            <w:noWrap/>
            <w:vAlign w:val="center"/>
            <w:hideMark/>
          </w:tcPr>
          <w:p w14:paraId="376552B5"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84" w:type="dxa"/>
            <w:tcBorders>
              <w:top w:val="nil"/>
              <w:left w:val="nil"/>
              <w:bottom w:val="single" w:sz="4" w:space="0" w:color="auto"/>
              <w:right w:val="single" w:sz="4" w:space="0" w:color="auto"/>
            </w:tcBorders>
            <w:shd w:val="clear" w:color="auto" w:fill="auto"/>
            <w:noWrap/>
            <w:vAlign w:val="center"/>
            <w:hideMark/>
          </w:tcPr>
          <w:p w14:paraId="4522C7B7"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970" w:type="dxa"/>
            <w:tcBorders>
              <w:top w:val="nil"/>
              <w:left w:val="nil"/>
              <w:bottom w:val="single" w:sz="4" w:space="0" w:color="auto"/>
              <w:right w:val="single" w:sz="4" w:space="0" w:color="auto"/>
            </w:tcBorders>
            <w:shd w:val="clear" w:color="auto" w:fill="auto"/>
            <w:noWrap/>
            <w:vAlign w:val="center"/>
            <w:hideMark/>
          </w:tcPr>
          <w:p w14:paraId="625488C7"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524" w:type="dxa"/>
            <w:tcBorders>
              <w:top w:val="nil"/>
              <w:left w:val="nil"/>
              <w:bottom w:val="single" w:sz="4" w:space="0" w:color="auto"/>
              <w:right w:val="single" w:sz="4" w:space="0" w:color="auto"/>
            </w:tcBorders>
            <w:shd w:val="clear" w:color="auto" w:fill="auto"/>
            <w:noWrap/>
            <w:vAlign w:val="center"/>
            <w:hideMark/>
          </w:tcPr>
          <w:p w14:paraId="60101734"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99" w:type="dxa"/>
            <w:tcBorders>
              <w:top w:val="nil"/>
              <w:left w:val="nil"/>
              <w:bottom w:val="single" w:sz="4" w:space="0" w:color="auto"/>
              <w:right w:val="single" w:sz="4" w:space="0" w:color="auto"/>
            </w:tcBorders>
            <w:shd w:val="clear" w:color="auto" w:fill="auto"/>
            <w:noWrap/>
            <w:vAlign w:val="center"/>
            <w:hideMark/>
          </w:tcPr>
          <w:p w14:paraId="645708B8"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682" w:type="dxa"/>
            <w:tcBorders>
              <w:top w:val="nil"/>
              <w:left w:val="nil"/>
              <w:bottom w:val="single" w:sz="4" w:space="0" w:color="auto"/>
              <w:right w:val="single" w:sz="4" w:space="0" w:color="auto"/>
            </w:tcBorders>
            <w:shd w:val="clear" w:color="auto" w:fill="auto"/>
            <w:noWrap/>
            <w:vAlign w:val="center"/>
            <w:hideMark/>
          </w:tcPr>
          <w:p w14:paraId="79F66B15"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682" w:type="dxa"/>
            <w:tcBorders>
              <w:top w:val="nil"/>
              <w:left w:val="nil"/>
              <w:bottom w:val="single" w:sz="4" w:space="0" w:color="auto"/>
              <w:right w:val="single" w:sz="4" w:space="0" w:color="auto"/>
            </w:tcBorders>
            <w:shd w:val="clear" w:color="auto" w:fill="auto"/>
            <w:noWrap/>
            <w:vAlign w:val="center"/>
            <w:hideMark/>
          </w:tcPr>
          <w:p w14:paraId="7D770893"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413" w:type="dxa"/>
            <w:tcBorders>
              <w:top w:val="nil"/>
              <w:left w:val="nil"/>
              <w:bottom w:val="single" w:sz="4" w:space="0" w:color="auto"/>
              <w:right w:val="single" w:sz="4" w:space="0" w:color="auto"/>
            </w:tcBorders>
            <w:shd w:val="clear" w:color="auto" w:fill="auto"/>
            <w:noWrap/>
            <w:vAlign w:val="center"/>
            <w:hideMark/>
          </w:tcPr>
          <w:p w14:paraId="5A90EAA8"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41" w:type="dxa"/>
            <w:tcBorders>
              <w:top w:val="nil"/>
              <w:left w:val="nil"/>
              <w:bottom w:val="single" w:sz="4" w:space="0" w:color="auto"/>
              <w:right w:val="single" w:sz="8" w:space="0" w:color="auto"/>
            </w:tcBorders>
            <w:shd w:val="clear" w:color="auto" w:fill="auto"/>
            <w:noWrap/>
            <w:vAlign w:val="center"/>
            <w:hideMark/>
          </w:tcPr>
          <w:p w14:paraId="04872798"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10</w:t>
            </w:r>
          </w:p>
        </w:tc>
      </w:tr>
      <w:tr w:rsidR="00772287" w:rsidRPr="002340FA" w14:paraId="11609A8D" w14:textId="77777777" w:rsidTr="00D0295E">
        <w:trPr>
          <w:trHeight w:val="120"/>
        </w:trPr>
        <w:tc>
          <w:tcPr>
            <w:tcW w:w="471" w:type="dxa"/>
            <w:tcBorders>
              <w:top w:val="nil"/>
              <w:left w:val="single" w:sz="8" w:space="0" w:color="auto"/>
              <w:bottom w:val="single" w:sz="4" w:space="0" w:color="auto"/>
              <w:right w:val="single" w:sz="4" w:space="0" w:color="auto"/>
            </w:tcBorders>
            <w:shd w:val="clear" w:color="auto" w:fill="auto"/>
            <w:noWrap/>
            <w:vAlign w:val="center"/>
            <w:hideMark/>
          </w:tcPr>
          <w:p w14:paraId="2B8DBE23"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3</w:t>
            </w:r>
          </w:p>
        </w:tc>
        <w:tc>
          <w:tcPr>
            <w:tcW w:w="1532" w:type="dxa"/>
            <w:tcBorders>
              <w:top w:val="nil"/>
              <w:left w:val="nil"/>
              <w:bottom w:val="single" w:sz="4" w:space="0" w:color="auto"/>
              <w:right w:val="single" w:sz="4" w:space="0" w:color="auto"/>
            </w:tcBorders>
            <w:shd w:val="clear" w:color="auto" w:fill="auto"/>
            <w:noWrap/>
            <w:vAlign w:val="center"/>
            <w:hideMark/>
          </w:tcPr>
          <w:p w14:paraId="77C41316"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4805.19.90.00.00</w:t>
            </w:r>
          </w:p>
        </w:tc>
        <w:tc>
          <w:tcPr>
            <w:tcW w:w="556" w:type="dxa"/>
            <w:tcBorders>
              <w:top w:val="nil"/>
              <w:left w:val="nil"/>
              <w:bottom w:val="single" w:sz="4" w:space="0" w:color="auto"/>
              <w:right w:val="single" w:sz="4" w:space="0" w:color="auto"/>
            </w:tcBorders>
            <w:shd w:val="clear" w:color="auto" w:fill="auto"/>
            <w:noWrap/>
            <w:vAlign w:val="center"/>
            <w:hideMark/>
          </w:tcPr>
          <w:p w14:paraId="381D330C"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20</w:t>
            </w:r>
          </w:p>
        </w:tc>
        <w:tc>
          <w:tcPr>
            <w:tcW w:w="641" w:type="dxa"/>
            <w:tcBorders>
              <w:top w:val="nil"/>
              <w:left w:val="nil"/>
              <w:bottom w:val="single" w:sz="4" w:space="0" w:color="auto"/>
              <w:right w:val="single" w:sz="4" w:space="0" w:color="auto"/>
            </w:tcBorders>
            <w:shd w:val="clear" w:color="auto" w:fill="auto"/>
            <w:noWrap/>
            <w:vAlign w:val="center"/>
            <w:hideMark/>
          </w:tcPr>
          <w:p w14:paraId="533C172B"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84" w:type="dxa"/>
            <w:tcBorders>
              <w:top w:val="nil"/>
              <w:left w:val="nil"/>
              <w:bottom w:val="single" w:sz="4" w:space="0" w:color="auto"/>
              <w:right w:val="single" w:sz="4" w:space="0" w:color="auto"/>
            </w:tcBorders>
            <w:shd w:val="clear" w:color="auto" w:fill="auto"/>
            <w:noWrap/>
            <w:vAlign w:val="center"/>
            <w:hideMark/>
          </w:tcPr>
          <w:p w14:paraId="4351B539"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970" w:type="dxa"/>
            <w:tcBorders>
              <w:top w:val="nil"/>
              <w:left w:val="nil"/>
              <w:bottom w:val="single" w:sz="4" w:space="0" w:color="auto"/>
              <w:right w:val="single" w:sz="4" w:space="0" w:color="auto"/>
            </w:tcBorders>
            <w:shd w:val="clear" w:color="auto" w:fill="auto"/>
            <w:noWrap/>
            <w:vAlign w:val="center"/>
            <w:hideMark/>
          </w:tcPr>
          <w:p w14:paraId="30A21510"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524" w:type="dxa"/>
            <w:tcBorders>
              <w:top w:val="nil"/>
              <w:left w:val="nil"/>
              <w:bottom w:val="single" w:sz="4" w:space="0" w:color="auto"/>
              <w:right w:val="single" w:sz="4" w:space="0" w:color="auto"/>
            </w:tcBorders>
            <w:shd w:val="clear" w:color="auto" w:fill="auto"/>
            <w:noWrap/>
            <w:vAlign w:val="center"/>
            <w:hideMark/>
          </w:tcPr>
          <w:p w14:paraId="550ED9FB"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99" w:type="dxa"/>
            <w:tcBorders>
              <w:top w:val="nil"/>
              <w:left w:val="nil"/>
              <w:bottom w:val="single" w:sz="4" w:space="0" w:color="auto"/>
              <w:right w:val="single" w:sz="4" w:space="0" w:color="auto"/>
            </w:tcBorders>
            <w:shd w:val="clear" w:color="auto" w:fill="auto"/>
            <w:noWrap/>
            <w:vAlign w:val="center"/>
            <w:hideMark/>
          </w:tcPr>
          <w:p w14:paraId="35CD63DA"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682" w:type="dxa"/>
            <w:tcBorders>
              <w:top w:val="nil"/>
              <w:left w:val="nil"/>
              <w:bottom w:val="single" w:sz="4" w:space="0" w:color="auto"/>
              <w:right w:val="single" w:sz="4" w:space="0" w:color="auto"/>
            </w:tcBorders>
            <w:shd w:val="clear" w:color="auto" w:fill="auto"/>
            <w:noWrap/>
            <w:vAlign w:val="center"/>
            <w:hideMark/>
          </w:tcPr>
          <w:p w14:paraId="237C6ABA"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682" w:type="dxa"/>
            <w:tcBorders>
              <w:top w:val="nil"/>
              <w:left w:val="nil"/>
              <w:bottom w:val="single" w:sz="4" w:space="0" w:color="auto"/>
              <w:right w:val="single" w:sz="4" w:space="0" w:color="auto"/>
            </w:tcBorders>
            <w:shd w:val="clear" w:color="auto" w:fill="auto"/>
            <w:noWrap/>
            <w:vAlign w:val="center"/>
            <w:hideMark/>
          </w:tcPr>
          <w:p w14:paraId="771734D0"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413" w:type="dxa"/>
            <w:tcBorders>
              <w:top w:val="nil"/>
              <w:left w:val="nil"/>
              <w:bottom w:val="single" w:sz="4" w:space="0" w:color="auto"/>
              <w:right w:val="single" w:sz="4" w:space="0" w:color="auto"/>
            </w:tcBorders>
            <w:shd w:val="clear" w:color="auto" w:fill="auto"/>
            <w:noWrap/>
            <w:vAlign w:val="center"/>
            <w:hideMark/>
          </w:tcPr>
          <w:p w14:paraId="50520832"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41" w:type="dxa"/>
            <w:tcBorders>
              <w:top w:val="nil"/>
              <w:left w:val="nil"/>
              <w:bottom w:val="single" w:sz="4" w:space="0" w:color="auto"/>
              <w:right w:val="single" w:sz="8" w:space="0" w:color="auto"/>
            </w:tcBorders>
            <w:shd w:val="clear" w:color="auto" w:fill="auto"/>
            <w:noWrap/>
            <w:vAlign w:val="center"/>
            <w:hideMark/>
          </w:tcPr>
          <w:p w14:paraId="76115115"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10</w:t>
            </w:r>
          </w:p>
        </w:tc>
      </w:tr>
      <w:tr w:rsidR="00772287" w:rsidRPr="002340FA" w14:paraId="0C939799" w14:textId="77777777" w:rsidTr="00D0295E">
        <w:trPr>
          <w:trHeight w:val="120"/>
        </w:trPr>
        <w:tc>
          <w:tcPr>
            <w:tcW w:w="471" w:type="dxa"/>
            <w:tcBorders>
              <w:top w:val="nil"/>
              <w:left w:val="single" w:sz="8" w:space="0" w:color="auto"/>
              <w:bottom w:val="single" w:sz="4" w:space="0" w:color="auto"/>
              <w:right w:val="single" w:sz="4" w:space="0" w:color="auto"/>
            </w:tcBorders>
            <w:shd w:val="clear" w:color="auto" w:fill="auto"/>
            <w:noWrap/>
            <w:vAlign w:val="center"/>
            <w:hideMark/>
          </w:tcPr>
          <w:p w14:paraId="4215D9E1"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w:t>
            </w:r>
          </w:p>
        </w:tc>
        <w:tc>
          <w:tcPr>
            <w:tcW w:w="1532" w:type="dxa"/>
            <w:tcBorders>
              <w:top w:val="nil"/>
              <w:left w:val="nil"/>
              <w:bottom w:val="single" w:sz="4" w:space="0" w:color="auto"/>
              <w:right w:val="single" w:sz="4" w:space="0" w:color="auto"/>
            </w:tcBorders>
            <w:shd w:val="clear" w:color="auto" w:fill="auto"/>
            <w:noWrap/>
            <w:vAlign w:val="center"/>
            <w:hideMark/>
          </w:tcPr>
          <w:p w14:paraId="5B547197"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4805.24.00.00.00</w:t>
            </w:r>
          </w:p>
        </w:tc>
        <w:tc>
          <w:tcPr>
            <w:tcW w:w="556" w:type="dxa"/>
            <w:tcBorders>
              <w:top w:val="nil"/>
              <w:left w:val="nil"/>
              <w:bottom w:val="single" w:sz="4" w:space="0" w:color="auto"/>
              <w:right w:val="single" w:sz="4" w:space="0" w:color="auto"/>
            </w:tcBorders>
            <w:shd w:val="clear" w:color="auto" w:fill="auto"/>
            <w:noWrap/>
            <w:vAlign w:val="center"/>
            <w:hideMark/>
          </w:tcPr>
          <w:p w14:paraId="51969A6D"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20</w:t>
            </w:r>
          </w:p>
        </w:tc>
        <w:tc>
          <w:tcPr>
            <w:tcW w:w="641" w:type="dxa"/>
            <w:tcBorders>
              <w:top w:val="nil"/>
              <w:left w:val="nil"/>
              <w:bottom w:val="single" w:sz="4" w:space="0" w:color="auto"/>
              <w:right w:val="single" w:sz="4" w:space="0" w:color="auto"/>
            </w:tcBorders>
            <w:shd w:val="clear" w:color="auto" w:fill="auto"/>
            <w:noWrap/>
            <w:vAlign w:val="center"/>
            <w:hideMark/>
          </w:tcPr>
          <w:p w14:paraId="19AF2902"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84" w:type="dxa"/>
            <w:tcBorders>
              <w:top w:val="nil"/>
              <w:left w:val="nil"/>
              <w:bottom w:val="single" w:sz="4" w:space="0" w:color="auto"/>
              <w:right w:val="single" w:sz="4" w:space="0" w:color="auto"/>
            </w:tcBorders>
            <w:shd w:val="clear" w:color="auto" w:fill="auto"/>
            <w:noWrap/>
            <w:vAlign w:val="center"/>
            <w:hideMark/>
          </w:tcPr>
          <w:p w14:paraId="6FC4EA4B"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970" w:type="dxa"/>
            <w:tcBorders>
              <w:top w:val="nil"/>
              <w:left w:val="nil"/>
              <w:bottom w:val="single" w:sz="4" w:space="0" w:color="auto"/>
              <w:right w:val="single" w:sz="4" w:space="0" w:color="auto"/>
            </w:tcBorders>
            <w:shd w:val="clear" w:color="auto" w:fill="auto"/>
            <w:noWrap/>
            <w:vAlign w:val="center"/>
            <w:hideMark/>
          </w:tcPr>
          <w:p w14:paraId="705D44C4"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524" w:type="dxa"/>
            <w:tcBorders>
              <w:top w:val="nil"/>
              <w:left w:val="nil"/>
              <w:bottom w:val="single" w:sz="4" w:space="0" w:color="auto"/>
              <w:right w:val="single" w:sz="4" w:space="0" w:color="auto"/>
            </w:tcBorders>
            <w:shd w:val="clear" w:color="auto" w:fill="auto"/>
            <w:noWrap/>
            <w:vAlign w:val="center"/>
            <w:hideMark/>
          </w:tcPr>
          <w:p w14:paraId="4524076B"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99" w:type="dxa"/>
            <w:tcBorders>
              <w:top w:val="nil"/>
              <w:left w:val="nil"/>
              <w:bottom w:val="single" w:sz="4" w:space="0" w:color="auto"/>
              <w:right w:val="single" w:sz="4" w:space="0" w:color="auto"/>
            </w:tcBorders>
            <w:shd w:val="clear" w:color="auto" w:fill="auto"/>
            <w:noWrap/>
            <w:vAlign w:val="center"/>
            <w:hideMark/>
          </w:tcPr>
          <w:p w14:paraId="123D6339"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682" w:type="dxa"/>
            <w:tcBorders>
              <w:top w:val="nil"/>
              <w:left w:val="nil"/>
              <w:bottom w:val="single" w:sz="4" w:space="0" w:color="auto"/>
              <w:right w:val="single" w:sz="4" w:space="0" w:color="auto"/>
            </w:tcBorders>
            <w:shd w:val="clear" w:color="auto" w:fill="auto"/>
            <w:noWrap/>
            <w:vAlign w:val="center"/>
            <w:hideMark/>
          </w:tcPr>
          <w:p w14:paraId="581442E5"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682" w:type="dxa"/>
            <w:tcBorders>
              <w:top w:val="nil"/>
              <w:left w:val="nil"/>
              <w:bottom w:val="single" w:sz="4" w:space="0" w:color="auto"/>
              <w:right w:val="single" w:sz="4" w:space="0" w:color="auto"/>
            </w:tcBorders>
            <w:shd w:val="clear" w:color="auto" w:fill="auto"/>
            <w:noWrap/>
            <w:vAlign w:val="center"/>
            <w:hideMark/>
          </w:tcPr>
          <w:p w14:paraId="1C572615"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413" w:type="dxa"/>
            <w:tcBorders>
              <w:top w:val="nil"/>
              <w:left w:val="nil"/>
              <w:bottom w:val="single" w:sz="4" w:space="0" w:color="auto"/>
              <w:right w:val="single" w:sz="4" w:space="0" w:color="auto"/>
            </w:tcBorders>
            <w:shd w:val="clear" w:color="auto" w:fill="auto"/>
            <w:noWrap/>
            <w:vAlign w:val="center"/>
            <w:hideMark/>
          </w:tcPr>
          <w:p w14:paraId="565CB3C4"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41" w:type="dxa"/>
            <w:tcBorders>
              <w:top w:val="nil"/>
              <w:left w:val="nil"/>
              <w:bottom w:val="single" w:sz="4" w:space="0" w:color="auto"/>
              <w:right w:val="single" w:sz="8" w:space="0" w:color="auto"/>
            </w:tcBorders>
            <w:shd w:val="clear" w:color="auto" w:fill="auto"/>
            <w:noWrap/>
            <w:vAlign w:val="center"/>
            <w:hideMark/>
          </w:tcPr>
          <w:p w14:paraId="3D6952A0"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10</w:t>
            </w:r>
          </w:p>
        </w:tc>
      </w:tr>
      <w:tr w:rsidR="00772287" w:rsidRPr="002340FA" w14:paraId="02E57171" w14:textId="77777777" w:rsidTr="00D0295E">
        <w:trPr>
          <w:trHeight w:val="126"/>
        </w:trPr>
        <w:tc>
          <w:tcPr>
            <w:tcW w:w="471" w:type="dxa"/>
            <w:tcBorders>
              <w:top w:val="nil"/>
              <w:left w:val="single" w:sz="8" w:space="0" w:color="auto"/>
              <w:bottom w:val="single" w:sz="8" w:space="0" w:color="auto"/>
              <w:right w:val="single" w:sz="4" w:space="0" w:color="auto"/>
            </w:tcBorders>
            <w:shd w:val="clear" w:color="auto" w:fill="auto"/>
            <w:noWrap/>
            <w:vAlign w:val="center"/>
            <w:hideMark/>
          </w:tcPr>
          <w:p w14:paraId="152B8966"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5</w:t>
            </w:r>
          </w:p>
        </w:tc>
        <w:tc>
          <w:tcPr>
            <w:tcW w:w="1532" w:type="dxa"/>
            <w:tcBorders>
              <w:top w:val="nil"/>
              <w:left w:val="nil"/>
              <w:bottom w:val="single" w:sz="8" w:space="0" w:color="auto"/>
              <w:right w:val="single" w:sz="4" w:space="0" w:color="auto"/>
            </w:tcBorders>
            <w:shd w:val="clear" w:color="auto" w:fill="auto"/>
            <w:noWrap/>
            <w:vAlign w:val="center"/>
            <w:hideMark/>
          </w:tcPr>
          <w:p w14:paraId="4242C61A"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4805.25.00.00.00</w:t>
            </w:r>
          </w:p>
        </w:tc>
        <w:tc>
          <w:tcPr>
            <w:tcW w:w="556" w:type="dxa"/>
            <w:tcBorders>
              <w:top w:val="nil"/>
              <w:left w:val="nil"/>
              <w:bottom w:val="single" w:sz="8" w:space="0" w:color="auto"/>
              <w:right w:val="single" w:sz="4" w:space="0" w:color="auto"/>
            </w:tcBorders>
            <w:shd w:val="clear" w:color="auto" w:fill="auto"/>
            <w:noWrap/>
            <w:vAlign w:val="center"/>
            <w:hideMark/>
          </w:tcPr>
          <w:p w14:paraId="16B6A831"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20</w:t>
            </w:r>
          </w:p>
        </w:tc>
        <w:tc>
          <w:tcPr>
            <w:tcW w:w="641" w:type="dxa"/>
            <w:tcBorders>
              <w:top w:val="nil"/>
              <w:left w:val="nil"/>
              <w:bottom w:val="single" w:sz="8" w:space="0" w:color="auto"/>
              <w:right w:val="single" w:sz="4" w:space="0" w:color="auto"/>
            </w:tcBorders>
            <w:shd w:val="clear" w:color="auto" w:fill="auto"/>
            <w:noWrap/>
            <w:vAlign w:val="center"/>
            <w:hideMark/>
          </w:tcPr>
          <w:p w14:paraId="785F23FB"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84" w:type="dxa"/>
            <w:tcBorders>
              <w:top w:val="nil"/>
              <w:left w:val="nil"/>
              <w:bottom w:val="single" w:sz="8" w:space="0" w:color="auto"/>
              <w:right w:val="single" w:sz="4" w:space="0" w:color="auto"/>
            </w:tcBorders>
            <w:shd w:val="clear" w:color="auto" w:fill="auto"/>
            <w:noWrap/>
            <w:vAlign w:val="center"/>
            <w:hideMark/>
          </w:tcPr>
          <w:p w14:paraId="74F45F9F"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970" w:type="dxa"/>
            <w:tcBorders>
              <w:top w:val="nil"/>
              <w:left w:val="nil"/>
              <w:bottom w:val="single" w:sz="8" w:space="0" w:color="auto"/>
              <w:right w:val="single" w:sz="4" w:space="0" w:color="auto"/>
            </w:tcBorders>
            <w:shd w:val="clear" w:color="auto" w:fill="auto"/>
            <w:noWrap/>
            <w:vAlign w:val="center"/>
            <w:hideMark/>
          </w:tcPr>
          <w:p w14:paraId="5E055850"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524" w:type="dxa"/>
            <w:tcBorders>
              <w:top w:val="nil"/>
              <w:left w:val="nil"/>
              <w:bottom w:val="single" w:sz="8" w:space="0" w:color="auto"/>
              <w:right w:val="single" w:sz="4" w:space="0" w:color="auto"/>
            </w:tcBorders>
            <w:shd w:val="clear" w:color="auto" w:fill="auto"/>
            <w:noWrap/>
            <w:vAlign w:val="center"/>
            <w:hideMark/>
          </w:tcPr>
          <w:p w14:paraId="0E19D127"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99" w:type="dxa"/>
            <w:tcBorders>
              <w:top w:val="nil"/>
              <w:left w:val="nil"/>
              <w:bottom w:val="single" w:sz="8" w:space="0" w:color="auto"/>
              <w:right w:val="single" w:sz="4" w:space="0" w:color="auto"/>
            </w:tcBorders>
            <w:shd w:val="clear" w:color="auto" w:fill="auto"/>
            <w:noWrap/>
            <w:vAlign w:val="center"/>
            <w:hideMark/>
          </w:tcPr>
          <w:p w14:paraId="0F7981B7"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682" w:type="dxa"/>
            <w:tcBorders>
              <w:top w:val="nil"/>
              <w:left w:val="nil"/>
              <w:bottom w:val="single" w:sz="8" w:space="0" w:color="auto"/>
              <w:right w:val="single" w:sz="4" w:space="0" w:color="auto"/>
            </w:tcBorders>
            <w:shd w:val="clear" w:color="auto" w:fill="auto"/>
            <w:noWrap/>
            <w:vAlign w:val="center"/>
            <w:hideMark/>
          </w:tcPr>
          <w:p w14:paraId="4371F3F7"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682" w:type="dxa"/>
            <w:tcBorders>
              <w:top w:val="nil"/>
              <w:left w:val="nil"/>
              <w:bottom w:val="single" w:sz="8" w:space="0" w:color="auto"/>
              <w:right w:val="single" w:sz="4" w:space="0" w:color="auto"/>
            </w:tcBorders>
            <w:shd w:val="clear" w:color="auto" w:fill="auto"/>
            <w:noWrap/>
            <w:vAlign w:val="center"/>
            <w:hideMark/>
          </w:tcPr>
          <w:p w14:paraId="05A92433"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413" w:type="dxa"/>
            <w:tcBorders>
              <w:top w:val="nil"/>
              <w:left w:val="nil"/>
              <w:bottom w:val="single" w:sz="8" w:space="0" w:color="auto"/>
              <w:right w:val="single" w:sz="4" w:space="0" w:color="auto"/>
            </w:tcBorders>
            <w:shd w:val="clear" w:color="auto" w:fill="auto"/>
            <w:noWrap/>
            <w:vAlign w:val="center"/>
            <w:hideMark/>
          </w:tcPr>
          <w:p w14:paraId="44DE675C"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0</w:t>
            </w:r>
          </w:p>
        </w:tc>
        <w:tc>
          <w:tcPr>
            <w:tcW w:w="841" w:type="dxa"/>
            <w:tcBorders>
              <w:top w:val="nil"/>
              <w:left w:val="nil"/>
              <w:bottom w:val="single" w:sz="8" w:space="0" w:color="auto"/>
              <w:right w:val="single" w:sz="8" w:space="0" w:color="auto"/>
            </w:tcBorders>
            <w:shd w:val="clear" w:color="auto" w:fill="auto"/>
            <w:noWrap/>
            <w:vAlign w:val="center"/>
            <w:hideMark/>
          </w:tcPr>
          <w:p w14:paraId="232FFC0E"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10</w:t>
            </w:r>
          </w:p>
        </w:tc>
      </w:tr>
    </w:tbl>
    <w:p w14:paraId="373DB30D" w14:textId="77777777" w:rsidR="00772287" w:rsidRPr="002340FA" w:rsidRDefault="00772287" w:rsidP="00772287">
      <w:pPr>
        <w:spacing w:after="180" w:line="300" w:lineRule="exact"/>
        <w:jc w:val="both"/>
        <w:rPr>
          <w:rFonts w:ascii="Times New Roman" w:hAnsi="Times New Roman" w:cs="Times New Roman"/>
          <w:b/>
          <w:bCs/>
          <w:sz w:val="24"/>
          <w:szCs w:val="24"/>
        </w:rPr>
      </w:pPr>
    </w:p>
    <w:p w14:paraId="550AB9A3"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3. İthalat artışı ve ithalatın gerçekleşme koşulları</w:t>
      </w:r>
    </w:p>
    <w:p w14:paraId="178090BD"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Soruşturma konusu eşya için mutlak ve nispi ithalatın, ithalatın yurtiçi piyasadan aldığı payın ve ithalatın ülkelere göre dağılımının yıllar itibarıyla seyri aşağıda gösterilmektedir.</w:t>
      </w:r>
    </w:p>
    <w:p w14:paraId="3A3D5311"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Raporun bu kısmında 2019-2023 tam yıl ithalat verileri kullanılmış olup 4805.11 GTP’li eşya soruşturma kapsamından tamamen çıkarıldığından bahse konu GTP’e ilişkin ithalat verileri kullanılmamıştır.</w:t>
      </w:r>
    </w:p>
    <w:p w14:paraId="5DA873B0"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lastRenderedPageBreak/>
        <w:t>3.1 Mutlak ithalat</w:t>
      </w:r>
    </w:p>
    <w:tbl>
      <w:tblPr>
        <w:tblW w:w="9174" w:type="dxa"/>
        <w:tblCellMar>
          <w:left w:w="70" w:type="dxa"/>
          <w:right w:w="70" w:type="dxa"/>
        </w:tblCellMar>
        <w:tblLook w:val="04A0" w:firstRow="1" w:lastRow="0" w:firstColumn="1" w:lastColumn="0" w:noHBand="0" w:noVBand="1"/>
      </w:tblPr>
      <w:tblGrid>
        <w:gridCol w:w="2258"/>
        <w:gridCol w:w="1276"/>
        <w:gridCol w:w="1418"/>
        <w:gridCol w:w="850"/>
        <w:gridCol w:w="709"/>
        <w:gridCol w:w="992"/>
        <w:gridCol w:w="851"/>
        <w:gridCol w:w="820"/>
      </w:tblGrid>
      <w:tr w:rsidR="00772287" w:rsidRPr="002340FA" w14:paraId="4C6515BB" w14:textId="77777777" w:rsidTr="00D0295E">
        <w:trPr>
          <w:trHeight w:val="315"/>
        </w:trPr>
        <w:tc>
          <w:tcPr>
            <w:tcW w:w="2258"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26B0FD7"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Yıllar</w:t>
            </w:r>
          </w:p>
        </w:tc>
        <w:tc>
          <w:tcPr>
            <w:tcW w:w="127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004B69F9"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Miktar</w:t>
            </w:r>
            <w:r w:rsidRPr="002340FA">
              <w:rPr>
                <w:rFonts w:ascii="Times New Roman" w:eastAsia="Times New Roman" w:hAnsi="Times New Roman" w:cs="Times New Roman"/>
                <w:b/>
                <w:bCs/>
                <w:color w:val="000000"/>
                <w:sz w:val="24"/>
                <w:szCs w:val="24"/>
                <w:lang w:eastAsia="tr-TR"/>
              </w:rPr>
              <w:br/>
              <w:t>(ton)</w:t>
            </w:r>
          </w:p>
        </w:tc>
        <w:tc>
          <w:tcPr>
            <w:tcW w:w="1418"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82D3824"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Değer</w:t>
            </w:r>
            <w:r w:rsidRPr="002340FA">
              <w:rPr>
                <w:rFonts w:ascii="Times New Roman" w:eastAsia="Times New Roman" w:hAnsi="Times New Roman" w:cs="Times New Roman"/>
                <w:b/>
                <w:bCs/>
                <w:color w:val="000000"/>
                <w:sz w:val="24"/>
                <w:szCs w:val="24"/>
                <w:lang w:eastAsia="tr-TR"/>
              </w:rPr>
              <w:br/>
              <w:t>($)</w:t>
            </w:r>
          </w:p>
        </w:tc>
        <w:tc>
          <w:tcPr>
            <w:tcW w:w="85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29CFB03F"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B.F.</w:t>
            </w:r>
            <w:r w:rsidRPr="002340FA">
              <w:rPr>
                <w:rFonts w:ascii="Times New Roman" w:eastAsia="Times New Roman" w:hAnsi="Times New Roman" w:cs="Times New Roman"/>
                <w:b/>
                <w:bCs/>
                <w:color w:val="000000"/>
                <w:sz w:val="24"/>
                <w:szCs w:val="24"/>
                <w:lang w:eastAsia="tr-TR"/>
              </w:rPr>
              <w:br/>
              <w:t>($/ton)</w:t>
            </w:r>
          </w:p>
        </w:tc>
        <w:tc>
          <w:tcPr>
            <w:tcW w:w="70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FA929B8"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DİR</w:t>
            </w:r>
            <w:r w:rsidRPr="002340FA">
              <w:rPr>
                <w:rFonts w:ascii="Times New Roman" w:eastAsia="Times New Roman" w:hAnsi="Times New Roman" w:cs="Times New Roman"/>
                <w:b/>
                <w:bCs/>
                <w:color w:val="000000"/>
                <w:sz w:val="24"/>
                <w:szCs w:val="24"/>
                <w:lang w:eastAsia="tr-TR"/>
              </w:rPr>
              <w:br/>
              <w:t>%</w:t>
            </w:r>
          </w:p>
        </w:tc>
        <w:tc>
          <w:tcPr>
            <w:tcW w:w="2663" w:type="dxa"/>
            <w:gridSpan w:val="3"/>
            <w:tcBorders>
              <w:top w:val="single" w:sz="8" w:space="0" w:color="auto"/>
              <w:left w:val="nil"/>
              <w:bottom w:val="single" w:sz="4" w:space="0" w:color="auto"/>
              <w:right w:val="single" w:sz="8" w:space="0" w:color="000000"/>
            </w:tcBorders>
            <w:shd w:val="clear" w:color="auto" w:fill="auto"/>
            <w:noWrap/>
            <w:vAlign w:val="center"/>
            <w:hideMark/>
          </w:tcPr>
          <w:p w14:paraId="37B2409A"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Değişim %</w:t>
            </w:r>
          </w:p>
        </w:tc>
      </w:tr>
      <w:tr w:rsidR="00772287" w:rsidRPr="002340FA" w14:paraId="277F8316" w14:textId="77777777" w:rsidTr="00D0295E">
        <w:trPr>
          <w:trHeight w:val="630"/>
        </w:trPr>
        <w:tc>
          <w:tcPr>
            <w:tcW w:w="2258" w:type="dxa"/>
            <w:vMerge/>
            <w:tcBorders>
              <w:top w:val="single" w:sz="8" w:space="0" w:color="auto"/>
              <w:left w:val="single" w:sz="8" w:space="0" w:color="auto"/>
              <w:bottom w:val="single" w:sz="4" w:space="0" w:color="auto"/>
              <w:right w:val="single" w:sz="4" w:space="0" w:color="auto"/>
            </w:tcBorders>
            <w:vAlign w:val="center"/>
            <w:hideMark/>
          </w:tcPr>
          <w:p w14:paraId="5CFF9334" w14:textId="77777777" w:rsidR="00772287" w:rsidRPr="002340FA" w:rsidRDefault="00772287" w:rsidP="00D0295E">
            <w:pPr>
              <w:spacing w:after="0" w:line="280" w:lineRule="exact"/>
              <w:rPr>
                <w:rFonts w:ascii="Times New Roman" w:eastAsia="Times New Roman" w:hAnsi="Times New Roman" w:cs="Times New Roman"/>
                <w:b/>
                <w:bCs/>
                <w:color w:val="000000"/>
                <w:sz w:val="24"/>
                <w:szCs w:val="24"/>
                <w:lang w:eastAsia="tr-TR"/>
              </w:rPr>
            </w:pPr>
          </w:p>
        </w:tc>
        <w:tc>
          <w:tcPr>
            <w:tcW w:w="1276" w:type="dxa"/>
            <w:vMerge/>
            <w:tcBorders>
              <w:top w:val="single" w:sz="8" w:space="0" w:color="auto"/>
              <w:left w:val="single" w:sz="4" w:space="0" w:color="auto"/>
              <w:bottom w:val="single" w:sz="4" w:space="0" w:color="auto"/>
              <w:right w:val="single" w:sz="4" w:space="0" w:color="auto"/>
            </w:tcBorders>
            <w:vAlign w:val="center"/>
            <w:hideMark/>
          </w:tcPr>
          <w:p w14:paraId="53BF1DC9" w14:textId="77777777" w:rsidR="00772287" w:rsidRPr="002340FA" w:rsidRDefault="00772287" w:rsidP="00D0295E">
            <w:pPr>
              <w:spacing w:after="0" w:line="280" w:lineRule="exact"/>
              <w:rPr>
                <w:rFonts w:ascii="Times New Roman" w:eastAsia="Times New Roman" w:hAnsi="Times New Roman" w:cs="Times New Roman"/>
                <w:b/>
                <w:bCs/>
                <w:color w:val="000000"/>
                <w:sz w:val="24"/>
                <w:szCs w:val="24"/>
                <w:lang w:eastAsia="tr-TR"/>
              </w:rPr>
            </w:pPr>
          </w:p>
        </w:tc>
        <w:tc>
          <w:tcPr>
            <w:tcW w:w="1418" w:type="dxa"/>
            <w:vMerge/>
            <w:tcBorders>
              <w:top w:val="single" w:sz="8" w:space="0" w:color="auto"/>
              <w:left w:val="single" w:sz="4" w:space="0" w:color="auto"/>
              <w:bottom w:val="single" w:sz="4" w:space="0" w:color="auto"/>
              <w:right w:val="single" w:sz="4" w:space="0" w:color="auto"/>
            </w:tcBorders>
            <w:vAlign w:val="center"/>
            <w:hideMark/>
          </w:tcPr>
          <w:p w14:paraId="65E69770" w14:textId="77777777" w:rsidR="00772287" w:rsidRPr="002340FA" w:rsidRDefault="00772287" w:rsidP="00D0295E">
            <w:pPr>
              <w:spacing w:after="0" w:line="280" w:lineRule="exact"/>
              <w:rPr>
                <w:rFonts w:ascii="Times New Roman" w:eastAsia="Times New Roman" w:hAnsi="Times New Roman" w:cs="Times New Roman"/>
                <w:b/>
                <w:bCs/>
                <w:color w:val="000000"/>
                <w:sz w:val="24"/>
                <w:szCs w:val="24"/>
                <w:lang w:eastAsia="tr-TR"/>
              </w:rPr>
            </w:pPr>
          </w:p>
        </w:tc>
        <w:tc>
          <w:tcPr>
            <w:tcW w:w="850" w:type="dxa"/>
            <w:vMerge/>
            <w:tcBorders>
              <w:top w:val="single" w:sz="8" w:space="0" w:color="auto"/>
              <w:left w:val="single" w:sz="4" w:space="0" w:color="auto"/>
              <w:bottom w:val="single" w:sz="4" w:space="0" w:color="auto"/>
              <w:right w:val="single" w:sz="4" w:space="0" w:color="auto"/>
            </w:tcBorders>
            <w:vAlign w:val="center"/>
            <w:hideMark/>
          </w:tcPr>
          <w:p w14:paraId="5A4C8159" w14:textId="77777777" w:rsidR="00772287" w:rsidRPr="002340FA" w:rsidRDefault="00772287" w:rsidP="00D0295E">
            <w:pPr>
              <w:spacing w:after="0" w:line="280" w:lineRule="exact"/>
              <w:rPr>
                <w:rFonts w:ascii="Times New Roman" w:eastAsia="Times New Roman" w:hAnsi="Times New Roman" w:cs="Times New Roman"/>
                <w:b/>
                <w:bCs/>
                <w:color w:val="000000"/>
                <w:sz w:val="24"/>
                <w:szCs w:val="24"/>
                <w:lang w:eastAsia="tr-TR"/>
              </w:rPr>
            </w:pPr>
          </w:p>
        </w:tc>
        <w:tc>
          <w:tcPr>
            <w:tcW w:w="709" w:type="dxa"/>
            <w:vMerge/>
            <w:tcBorders>
              <w:top w:val="single" w:sz="8" w:space="0" w:color="auto"/>
              <w:left w:val="single" w:sz="4" w:space="0" w:color="auto"/>
              <w:bottom w:val="single" w:sz="4" w:space="0" w:color="auto"/>
              <w:right w:val="single" w:sz="4" w:space="0" w:color="auto"/>
            </w:tcBorders>
            <w:vAlign w:val="center"/>
            <w:hideMark/>
          </w:tcPr>
          <w:p w14:paraId="440B0F1F" w14:textId="77777777" w:rsidR="00772287" w:rsidRPr="002340FA" w:rsidRDefault="00772287" w:rsidP="00D0295E">
            <w:pPr>
              <w:spacing w:after="0" w:line="280" w:lineRule="exact"/>
              <w:rPr>
                <w:rFonts w:ascii="Times New Roman" w:eastAsia="Times New Roman" w:hAnsi="Times New Roman" w:cs="Times New Roman"/>
                <w:b/>
                <w:bCs/>
                <w:color w:val="000000"/>
                <w:sz w:val="24"/>
                <w:szCs w:val="24"/>
                <w:lang w:eastAsia="tr-TR"/>
              </w:rPr>
            </w:pPr>
          </w:p>
        </w:tc>
        <w:tc>
          <w:tcPr>
            <w:tcW w:w="992" w:type="dxa"/>
            <w:tcBorders>
              <w:top w:val="nil"/>
              <w:left w:val="nil"/>
              <w:bottom w:val="single" w:sz="4" w:space="0" w:color="auto"/>
              <w:right w:val="single" w:sz="4" w:space="0" w:color="auto"/>
            </w:tcBorders>
            <w:shd w:val="clear" w:color="auto" w:fill="auto"/>
            <w:vAlign w:val="center"/>
            <w:hideMark/>
          </w:tcPr>
          <w:p w14:paraId="774FDF4A"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Miktar</w:t>
            </w:r>
            <w:r w:rsidRPr="002340FA">
              <w:rPr>
                <w:rFonts w:ascii="Times New Roman" w:eastAsia="Times New Roman" w:hAnsi="Times New Roman" w:cs="Times New Roman"/>
                <w:b/>
                <w:bCs/>
                <w:color w:val="000000"/>
                <w:sz w:val="24"/>
                <w:szCs w:val="24"/>
                <w:lang w:eastAsia="tr-TR"/>
              </w:rPr>
              <w:br/>
              <w:t>(ton)</w:t>
            </w:r>
          </w:p>
        </w:tc>
        <w:tc>
          <w:tcPr>
            <w:tcW w:w="851" w:type="dxa"/>
            <w:tcBorders>
              <w:top w:val="nil"/>
              <w:left w:val="nil"/>
              <w:bottom w:val="single" w:sz="4" w:space="0" w:color="auto"/>
              <w:right w:val="single" w:sz="4" w:space="0" w:color="auto"/>
            </w:tcBorders>
            <w:shd w:val="clear" w:color="auto" w:fill="auto"/>
            <w:vAlign w:val="center"/>
            <w:hideMark/>
          </w:tcPr>
          <w:p w14:paraId="4E362194"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Değer</w:t>
            </w:r>
            <w:r w:rsidRPr="002340FA">
              <w:rPr>
                <w:rFonts w:ascii="Times New Roman" w:eastAsia="Times New Roman" w:hAnsi="Times New Roman" w:cs="Times New Roman"/>
                <w:b/>
                <w:bCs/>
                <w:color w:val="000000"/>
                <w:sz w:val="24"/>
                <w:szCs w:val="24"/>
                <w:lang w:eastAsia="tr-TR"/>
              </w:rPr>
              <w:br/>
              <w:t>($)</w:t>
            </w:r>
          </w:p>
        </w:tc>
        <w:tc>
          <w:tcPr>
            <w:tcW w:w="820" w:type="dxa"/>
            <w:tcBorders>
              <w:top w:val="nil"/>
              <w:left w:val="nil"/>
              <w:bottom w:val="single" w:sz="4" w:space="0" w:color="auto"/>
              <w:right w:val="single" w:sz="8" w:space="0" w:color="auto"/>
            </w:tcBorders>
            <w:shd w:val="clear" w:color="auto" w:fill="auto"/>
            <w:vAlign w:val="center"/>
            <w:hideMark/>
          </w:tcPr>
          <w:p w14:paraId="0DB302CF"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B.F.</w:t>
            </w:r>
            <w:r w:rsidRPr="002340FA">
              <w:rPr>
                <w:rFonts w:ascii="Times New Roman" w:eastAsia="Times New Roman" w:hAnsi="Times New Roman" w:cs="Times New Roman"/>
                <w:b/>
                <w:bCs/>
                <w:color w:val="000000"/>
                <w:sz w:val="24"/>
                <w:szCs w:val="24"/>
                <w:lang w:eastAsia="tr-TR"/>
              </w:rPr>
              <w:br/>
              <w:t>($/ton)</w:t>
            </w:r>
          </w:p>
        </w:tc>
      </w:tr>
      <w:tr w:rsidR="00772287" w:rsidRPr="002340FA" w14:paraId="44A6F743" w14:textId="77777777" w:rsidTr="00D0295E">
        <w:trPr>
          <w:trHeight w:val="315"/>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14:paraId="61D4AC32"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2019</w:t>
            </w:r>
          </w:p>
        </w:tc>
        <w:tc>
          <w:tcPr>
            <w:tcW w:w="1276" w:type="dxa"/>
            <w:tcBorders>
              <w:top w:val="nil"/>
              <w:left w:val="nil"/>
              <w:bottom w:val="single" w:sz="4" w:space="0" w:color="auto"/>
              <w:right w:val="single" w:sz="4" w:space="0" w:color="auto"/>
            </w:tcBorders>
            <w:shd w:val="clear" w:color="auto" w:fill="auto"/>
            <w:noWrap/>
            <w:vAlign w:val="center"/>
            <w:hideMark/>
          </w:tcPr>
          <w:p w14:paraId="36DEE5C3"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166.403</w:t>
            </w:r>
          </w:p>
        </w:tc>
        <w:tc>
          <w:tcPr>
            <w:tcW w:w="1418" w:type="dxa"/>
            <w:tcBorders>
              <w:top w:val="nil"/>
              <w:left w:val="nil"/>
              <w:bottom w:val="single" w:sz="4" w:space="0" w:color="auto"/>
              <w:right w:val="single" w:sz="4" w:space="0" w:color="auto"/>
            </w:tcBorders>
            <w:shd w:val="clear" w:color="auto" w:fill="auto"/>
            <w:noWrap/>
            <w:vAlign w:val="center"/>
            <w:hideMark/>
          </w:tcPr>
          <w:p w14:paraId="20213D63"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67.881.732</w:t>
            </w:r>
          </w:p>
        </w:tc>
        <w:tc>
          <w:tcPr>
            <w:tcW w:w="850" w:type="dxa"/>
            <w:tcBorders>
              <w:top w:val="nil"/>
              <w:left w:val="nil"/>
              <w:bottom w:val="single" w:sz="4" w:space="0" w:color="auto"/>
              <w:right w:val="single" w:sz="4" w:space="0" w:color="auto"/>
            </w:tcBorders>
            <w:shd w:val="clear" w:color="auto" w:fill="auto"/>
            <w:noWrap/>
            <w:vAlign w:val="center"/>
            <w:hideMark/>
          </w:tcPr>
          <w:p w14:paraId="363CC6BF"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408</w:t>
            </w:r>
          </w:p>
        </w:tc>
        <w:tc>
          <w:tcPr>
            <w:tcW w:w="709" w:type="dxa"/>
            <w:tcBorders>
              <w:top w:val="nil"/>
              <w:left w:val="nil"/>
              <w:bottom w:val="single" w:sz="4" w:space="0" w:color="auto"/>
              <w:right w:val="single" w:sz="4" w:space="0" w:color="auto"/>
            </w:tcBorders>
            <w:shd w:val="clear" w:color="auto" w:fill="auto"/>
            <w:noWrap/>
            <w:vAlign w:val="center"/>
            <w:hideMark/>
          </w:tcPr>
          <w:p w14:paraId="54A167AD"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w:t>
            </w:r>
          </w:p>
        </w:tc>
        <w:tc>
          <w:tcPr>
            <w:tcW w:w="992" w:type="dxa"/>
            <w:tcBorders>
              <w:top w:val="nil"/>
              <w:left w:val="nil"/>
              <w:bottom w:val="single" w:sz="4" w:space="0" w:color="auto"/>
              <w:right w:val="single" w:sz="4" w:space="0" w:color="auto"/>
            </w:tcBorders>
            <w:shd w:val="clear" w:color="auto" w:fill="auto"/>
            <w:noWrap/>
            <w:vAlign w:val="center"/>
            <w:hideMark/>
          </w:tcPr>
          <w:p w14:paraId="4F132CF7"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w:t>
            </w:r>
          </w:p>
        </w:tc>
        <w:tc>
          <w:tcPr>
            <w:tcW w:w="851" w:type="dxa"/>
            <w:tcBorders>
              <w:top w:val="nil"/>
              <w:left w:val="nil"/>
              <w:bottom w:val="single" w:sz="4" w:space="0" w:color="auto"/>
              <w:right w:val="single" w:sz="4" w:space="0" w:color="auto"/>
            </w:tcBorders>
            <w:shd w:val="clear" w:color="auto" w:fill="auto"/>
            <w:noWrap/>
            <w:vAlign w:val="center"/>
            <w:hideMark/>
          </w:tcPr>
          <w:p w14:paraId="2DB0E6C2"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w:t>
            </w:r>
          </w:p>
        </w:tc>
        <w:tc>
          <w:tcPr>
            <w:tcW w:w="820" w:type="dxa"/>
            <w:tcBorders>
              <w:top w:val="nil"/>
              <w:left w:val="nil"/>
              <w:bottom w:val="single" w:sz="4" w:space="0" w:color="auto"/>
              <w:right w:val="single" w:sz="8" w:space="0" w:color="auto"/>
            </w:tcBorders>
            <w:shd w:val="clear" w:color="auto" w:fill="auto"/>
            <w:noWrap/>
            <w:vAlign w:val="center"/>
            <w:hideMark/>
          </w:tcPr>
          <w:p w14:paraId="769170F2"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w:t>
            </w:r>
          </w:p>
        </w:tc>
      </w:tr>
      <w:tr w:rsidR="00772287" w:rsidRPr="002340FA" w14:paraId="10CBC918" w14:textId="77777777" w:rsidTr="00D0295E">
        <w:trPr>
          <w:trHeight w:val="315"/>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14:paraId="5468AF36"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2020</w:t>
            </w:r>
          </w:p>
        </w:tc>
        <w:tc>
          <w:tcPr>
            <w:tcW w:w="1276" w:type="dxa"/>
            <w:tcBorders>
              <w:top w:val="nil"/>
              <w:left w:val="nil"/>
              <w:bottom w:val="single" w:sz="4" w:space="0" w:color="auto"/>
              <w:right w:val="single" w:sz="4" w:space="0" w:color="auto"/>
            </w:tcBorders>
            <w:shd w:val="clear" w:color="auto" w:fill="auto"/>
            <w:noWrap/>
            <w:vAlign w:val="center"/>
            <w:hideMark/>
          </w:tcPr>
          <w:p w14:paraId="4F169DB5"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190.584</w:t>
            </w:r>
          </w:p>
        </w:tc>
        <w:tc>
          <w:tcPr>
            <w:tcW w:w="1418" w:type="dxa"/>
            <w:tcBorders>
              <w:top w:val="nil"/>
              <w:left w:val="nil"/>
              <w:bottom w:val="single" w:sz="4" w:space="0" w:color="auto"/>
              <w:right w:val="single" w:sz="4" w:space="0" w:color="auto"/>
            </w:tcBorders>
            <w:shd w:val="clear" w:color="auto" w:fill="auto"/>
            <w:noWrap/>
            <w:vAlign w:val="center"/>
            <w:hideMark/>
          </w:tcPr>
          <w:p w14:paraId="31AD0298"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78.526.624</w:t>
            </w:r>
          </w:p>
        </w:tc>
        <w:tc>
          <w:tcPr>
            <w:tcW w:w="850" w:type="dxa"/>
            <w:tcBorders>
              <w:top w:val="nil"/>
              <w:left w:val="nil"/>
              <w:bottom w:val="single" w:sz="4" w:space="0" w:color="auto"/>
              <w:right w:val="single" w:sz="4" w:space="0" w:color="auto"/>
            </w:tcBorders>
            <w:shd w:val="clear" w:color="auto" w:fill="auto"/>
            <w:noWrap/>
            <w:vAlign w:val="center"/>
            <w:hideMark/>
          </w:tcPr>
          <w:p w14:paraId="554952E4"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412</w:t>
            </w:r>
          </w:p>
        </w:tc>
        <w:tc>
          <w:tcPr>
            <w:tcW w:w="709" w:type="dxa"/>
            <w:tcBorders>
              <w:top w:val="nil"/>
              <w:left w:val="nil"/>
              <w:bottom w:val="single" w:sz="4" w:space="0" w:color="auto"/>
              <w:right w:val="single" w:sz="4" w:space="0" w:color="auto"/>
            </w:tcBorders>
            <w:shd w:val="clear" w:color="auto" w:fill="auto"/>
            <w:noWrap/>
            <w:vAlign w:val="center"/>
            <w:hideMark/>
          </w:tcPr>
          <w:p w14:paraId="78FDCE37"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4</w:t>
            </w:r>
          </w:p>
        </w:tc>
        <w:tc>
          <w:tcPr>
            <w:tcW w:w="992" w:type="dxa"/>
            <w:tcBorders>
              <w:top w:val="nil"/>
              <w:left w:val="nil"/>
              <w:bottom w:val="single" w:sz="4" w:space="0" w:color="auto"/>
              <w:right w:val="single" w:sz="4" w:space="0" w:color="auto"/>
            </w:tcBorders>
            <w:shd w:val="clear" w:color="auto" w:fill="auto"/>
            <w:noWrap/>
            <w:vAlign w:val="center"/>
            <w:hideMark/>
          </w:tcPr>
          <w:p w14:paraId="3BDD0892"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15%</w:t>
            </w:r>
          </w:p>
        </w:tc>
        <w:tc>
          <w:tcPr>
            <w:tcW w:w="851" w:type="dxa"/>
            <w:tcBorders>
              <w:top w:val="nil"/>
              <w:left w:val="nil"/>
              <w:bottom w:val="single" w:sz="4" w:space="0" w:color="auto"/>
              <w:right w:val="single" w:sz="4" w:space="0" w:color="auto"/>
            </w:tcBorders>
            <w:shd w:val="clear" w:color="auto" w:fill="auto"/>
            <w:noWrap/>
            <w:vAlign w:val="center"/>
            <w:hideMark/>
          </w:tcPr>
          <w:p w14:paraId="299E94CB"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16%</w:t>
            </w:r>
          </w:p>
        </w:tc>
        <w:tc>
          <w:tcPr>
            <w:tcW w:w="820" w:type="dxa"/>
            <w:tcBorders>
              <w:top w:val="nil"/>
              <w:left w:val="nil"/>
              <w:bottom w:val="single" w:sz="4" w:space="0" w:color="auto"/>
              <w:right w:val="single" w:sz="8" w:space="0" w:color="auto"/>
            </w:tcBorders>
            <w:shd w:val="clear" w:color="auto" w:fill="auto"/>
            <w:noWrap/>
            <w:vAlign w:val="center"/>
            <w:hideMark/>
          </w:tcPr>
          <w:p w14:paraId="43BEFBB9"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w:t>
            </w:r>
          </w:p>
        </w:tc>
      </w:tr>
      <w:tr w:rsidR="00772287" w:rsidRPr="002340FA" w14:paraId="583F187F" w14:textId="77777777" w:rsidTr="00D0295E">
        <w:trPr>
          <w:trHeight w:val="315"/>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14:paraId="74EE4BDF"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2021</w:t>
            </w:r>
          </w:p>
        </w:tc>
        <w:tc>
          <w:tcPr>
            <w:tcW w:w="1276" w:type="dxa"/>
            <w:tcBorders>
              <w:top w:val="nil"/>
              <w:left w:val="nil"/>
              <w:bottom w:val="single" w:sz="4" w:space="0" w:color="auto"/>
              <w:right w:val="single" w:sz="4" w:space="0" w:color="auto"/>
            </w:tcBorders>
            <w:shd w:val="clear" w:color="auto" w:fill="auto"/>
            <w:noWrap/>
            <w:vAlign w:val="center"/>
            <w:hideMark/>
          </w:tcPr>
          <w:p w14:paraId="74E1A604"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233.802</w:t>
            </w:r>
          </w:p>
        </w:tc>
        <w:tc>
          <w:tcPr>
            <w:tcW w:w="1418" w:type="dxa"/>
            <w:tcBorders>
              <w:top w:val="nil"/>
              <w:left w:val="nil"/>
              <w:bottom w:val="single" w:sz="4" w:space="0" w:color="auto"/>
              <w:right w:val="single" w:sz="4" w:space="0" w:color="auto"/>
            </w:tcBorders>
            <w:shd w:val="clear" w:color="auto" w:fill="auto"/>
            <w:noWrap/>
            <w:vAlign w:val="center"/>
            <w:hideMark/>
          </w:tcPr>
          <w:p w14:paraId="0FAAD8F9"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141.612.751</w:t>
            </w:r>
          </w:p>
        </w:tc>
        <w:tc>
          <w:tcPr>
            <w:tcW w:w="850" w:type="dxa"/>
            <w:tcBorders>
              <w:top w:val="nil"/>
              <w:left w:val="nil"/>
              <w:bottom w:val="single" w:sz="4" w:space="0" w:color="auto"/>
              <w:right w:val="single" w:sz="4" w:space="0" w:color="auto"/>
            </w:tcBorders>
            <w:shd w:val="clear" w:color="auto" w:fill="auto"/>
            <w:noWrap/>
            <w:vAlign w:val="center"/>
            <w:hideMark/>
          </w:tcPr>
          <w:p w14:paraId="28528321"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606</w:t>
            </w:r>
          </w:p>
        </w:tc>
        <w:tc>
          <w:tcPr>
            <w:tcW w:w="709" w:type="dxa"/>
            <w:tcBorders>
              <w:top w:val="nil"/>
              <w:left w:val="nil"/>
              <w:bottom w:val="single" w:sz="4" w:space="0" w:color="auto"/>
              <w:right w:val="single" w:sz="4" w:space="0" w:color="auto"/>
            </w:tcBorders>
            <w:shd w:val="clear" w:color="auto" w:fill="auto"/>
            <w:noWrap/>
            <w:vAlign w:val="center"/>
            <w:hideMark/>
          </w:tcPr>
          <w:p w14:paraId="007D4516"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3</w:t>
            </w:r>
          </w:p>
        </w:tc>
        <w:tc>
          <w:tcPr>
            <w:tcW w:w="992" w:type="dxa"/>
            <w:tcBorders>
              <w:top w:val="nil"/>
              <w:left w:val="nil"/>
              <w:bottom w:val="single" w:sz="4" w:space="0" w:color="auto"/>
              <w:right w:val="single" w:sz="4" w:space="0" w:color="auto"/>
            </w:tcBorders>
            <w:shd w:val="clear" w:color="auto" w:fill="auto"/>
            <w:noWrap/>
            <w:vAlign w:val="center"/>
            <w:hideMark/>
          </w:tcPr>
          <w:p w14:paraId="60D00407"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23%</w:t>
            </w:r>
          </w:p>
        </w:tc>
        <w:tc>
          <w:tcPr>
            <w:tcW w:w="851" w:type="dxa"/>
            <w:tcBorders>
              <w:top w:val="nil"/>
              <w:left w:val="nil"/>
              <w:bottom w:val="single" w:sz="4" w:space="0" w:color="auto"/>
              <w:right w:val="single" w:sz="4" w:space="0" w:color="auto"/>
            </w:tcBorders>
            <w:shd w:val="clear" w:color="auto" w:fill="auto"/>
            <w:noWrap/>
            <w:vAlign w:val="center"/>
            <w:hideMark/>
          </w:tcPr>
          <w:p w14:paraId="273772BD"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80%</w:t>
            </w:r>
          </w:p>
        </w:tc>
        <w:tc>
          <w:tcPr>
            <w:tcW w:w="820" w:type="dxa"/>
            <w:tcBorders>
              <w:top w:val="nil"/>
              <w:left w:val="nil"/>
              <w:bottom w:val="single" w:sz="4" w:space="0" w:color="auto"/>
              <w:right w:val="single" w:sz="8" w:space="0" w:color="auto"/>
            </w:tcBorders>
            <w:shd w:val="clear" w:color="auto" w:fill="auto"/>
            <w:noWrap/>
            <w:vAlign w:val="center"/>
            <w:hideMark/>
          </w:tcPr>
          <w:p w14:paraId="153974B6"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47%</w:t>
            </w:r>
          </w:p>
        </w:tc>
      </w:tr>
      <w:tr w:rsidR="00772287" w:rsidRPr="002340FA" w14:paraId="0267F416" w14:textId="77777777" w:rsidTr="00D0295E">
        <w:trPr>
          <w:trHeight w:val="315"/>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14:paraId="079BAAB0"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2022</w:t>
            </w:r>
          </w:p>
        </w:tc>
        <w:tc>
          <w:tcPr>
            <w:tcW w:w="1276" w:type="dxa"/>
            <w:tcBorders>
              <w:top w:val="nil"/>
              <w:left w:val="nil"/>
              <w:bottom w:val="single" w:sz="4" w:space="0" w:color="auto"/>
              <w:right w:val="single" w:sz="4" w:space="0" w:color="auto"/>
            </w:tcBorders>
            <w:shd w:val="clear" w:color="auto" w:fill="auto"/>
            <w:noWrap/>
            <w:vAlign w:val="center"/>
            <w:hideMark/>
          </w:tcPr>
          <w:p w14:paraId="79EFE0A6"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248.068</w:t>
            </w:r>
          </w:p>
        </w:tc>
        <w:tc>
          <w:tcPr>
            <w:tcW w:w="1418" w:type="dxa"/>
            <w:tcBorders>
              <w:top w:val="nil"/>
              <w:left w:val="nil"/>
              <w:bottom w:val="single" w:sz="4" w:space="0" w:color="auto"/>
              <w:right w:val="single" w:sz="4" w:space="0" w:color="auto"/>
            </w:tcBorders>
            <w:shd w:val="clear" w:color="auto" w:fill="auto"/>
            <w:noWrap/>
            <w:vAlign w:val="center"/>
            <w:hideMark/>
          </w:tcPr>
          <w:p w14:paraId="028A41C9"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190.215.999</w:t>
            </w:r>
          </w:p>
        </w:tc>
        <w:tc>
          <w:tcPr>
            <w:tcW w:w="850" w:type="dxa"/>
            <w:tcBorders>
              <w:top w:val="nil"/>
              <w:left w:val="nil"/>
              <w:bottom w:val="single" w:sz="4" w:space="0" w:color="auto"/>
              <w:right w:val="single" w:sz="4" w:space="0" w:color="auto"/>
            </w:tcBorders>
            <w:shd w:val="clear" w:color="auto" w:fill="auto"/>
            <w:noWrap/>
            <w:vAlign w:val="center"/>
            <w:hideMark/>
          </w:tcPr>
          <w:p w14:paraId="0D0A6AB4"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767</w:t>
            </w:r>
          </w:p>
        </w:tc>
        <w:tc>
          <w:tcPr>
            <w:tcW w:w="709" w:type="dxa"/>
            <w:tcBorders>
              <w:top w:val="nil"/>
              <w:left w:val="nil"/>
              <w:bottom w:val="single" w:sz="4" w:space="0" w:color="auto"/>
              <w:right w:val="single" w:sz="4" w:space="0" w:color="auto"/>
            </w:tcBorders>
            <w:shd w:val="clear" w:color="auto" w:fill="auto"/>
            <w:noWrap/>
            <w:vAlign w:val="center"/>
            <w:hideMark/>
          </w:tcPr>
          <w:p w14:paraId="63AC3516"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3</w:t>
            </w:r>
          </w:p>
        </w:tc>
        <w:tc>
          <w:tcPr>
            <w:tcW w:w="992" w:type="dxa"/>
            <w:tcBorders>
              <w:top w:val="nil"/>
              <w:left w:val="nil"/>
              <w:bottom w:val="single" w:sz="4" w:space="0" w:color="auto"/>
              <w:right w:val="single" w:sz="4" w:space="0" w:color="auto"/>
            </w:tcBorders>
            <w:shd w:val="clear" w:color="auto" w:fill="auto"/>
            <w:noWrap/>
            <w:vAlign w:val="center"/>
            <w:hideMark/>
          </w:tcPr>
          <w:p w14:paraId="607D7894"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6%</w:t>
            </w:r>
          </w:p>
        </w:tc>
        <w:tc>
          <w:tcPr>
            <w:tcW w:w="851" w:type="dxa"/>
            <w:tcBorders>
              <w:top w:val="nil"/>
              <w:left w:val="nil"/>
              <w:bottom w:val="single" w:sz="4" w:space="0" w:color="auto"/>
              <w:right w:val="single" w:sz="4" w:space="0" w:color="auto"/>
            </w:tcBorders>
            <w:shd w:val="clear" w:color="auto" w:fill="auto"/>
            <w:noWrap/>
            <w:vAlign w:val="center"/>
            <w:hideMark/>
          </w:tcPr>
          <w:p w14:paraId="4887B063"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34%</w:t>
            </w:r>
          </w:p>
        </w:tc>
        <w:tc>
          <w:tcPr>
            <w:tcW w:w="820" w:type="dxa"/>
            <w:tcBorders>
              <w:top w:val="nil"/>
              <w:left w:val="nil"/>
              <w:bottom w:val="single" w:sz="4" w:space="0" w:color="auto"/>
              <w:right w:val="single" w:sz="8" w:space="0" w:color="auto"/>
            </w:tcBorders>
            <w:shd w:val="clear" w:color="auto" w:fill="auto"/>
            <w:noWrap/>
            <w:vAlign w:val="center"/>
            <w:hideMark/>
          </w:tcPr>
          <w:p w14:paraId="1886B204"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27%</w:t>
            </w:r>
          </w:p>
        </w:tc>
      </w:tr>
      <w:tr w:rsidR="00772287" w:rsidRPr="002340FA" w14:paraId="71E74EE2" w14:textId="77777777" w:rsidTr="00D0295E">
        <w:trPr>
          <w:trHeight w:val="330"/>
        </w:trPr>
        <w:tc>
          <w:tcPr>
            <w:tcW w:w="2258" w:type="dxa"/>
            <w:tcBorders>
              <w:top w:val="nil"/>
              <w:left w:val="single" w:sz="8" w:space="0" w:color="auto"/>
              <w:bottom w:val="single" w:sz="8" w:space="0" w:color="auto"/>
              <w:right w:val="single" w:sz="4" w:space="0" w:color="auto"/>
            </w:tcBorders>
            <w:shd w:val="clear" w:color="auto" w:fill="auto"/>
            <w:noWrap/>
            <w:vAlign w:val="center"/>
            <w:hideMark/>
          </w:tcPr>
          <w:p w14:paraId="690B9F0C"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2023</w:t>
            </w:r>
          </w:p>
        </w:tc>
        <w:tc>
          <w:tcPr>
            <w:tcW w:w="1276" w:type="dxa"/>
            <w:tcBorders>
              <w:top w:val="nil"/>
              <w:left w:val="nil"/>
              <w:bottom w:val="single" w:sz="8" w:space="0" w:color="auto"/>
              <w:right w:val="single" w:sz="4" w:space="0" w:color="auto"/>
            </w:tcBorders>
            <w:shd w:val="clear" w:color="auto" w:fill="auto"/>
            <w:noWrap/>
            <w:vAlign w:val="center"/>
            <w:hideMark/>
          </w:tcPr>
          <w:p w14:paraId="7DE16BE5"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340.265</w:t>
            </w:r>
          </w:p>
        </w:tc>
        <w:tc>
          <w:tcPr>
            <w:tcW w:w="1418" w:type="dxa"/>
            <w:tcBorders>
              <w:top w:val="nil"/>
              <w:left w:val="nil"/>
              <w:bottom w:val="single" w:sz="8" w:space="0" w:color="auto"/>
              <w:right w:val="single" w:sz="4" w:space="0" w:color="auto"/>
            </w:tcBorders>
            <w:shd w:val="clear" w:color="auto" w:fill="auto"/>
            <w:noWrap/>
            <w:vAlign w:val="center"/>
            <w:hideMark/>
          </w:tcPr>
          <w:p w14:paraId="4BF52D8C"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153.595.682</w:t>
            </w:r>
          </w:p>
        </w:tc>
        <w:tc>
          <w:tcPr>
            <w:tcW w:w="850" w:type="dxa"/>
            <w:tcBorders>
              <w:top w:val="nil"/>
              <w:left w:val="nil"/>
              <w:bottom w:val="single" w:sz="8" w:space="0" w:color="auto"/>
              <w:right w:val="single" w:sz="4" w:space="0" w:color="auto"/>
            </w:tcBorders>
            <w:shd w:val="clear" w:color="auto" w:fill="auto"/>
            <w:noWrap/>
            <w:vAlign w:val="center"/>
            <w:hideMark/>
          </w:tcPr>
          <w:p w14:paraId="17E1295B"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451</w:t>
            </w:r>
          </w:p>
        </w:tc>
        <w:tc>
          <w:tcPr>
            <w:tcW w:w="709" w:type="dxa"/>
            <w:tcBorders>
              <w:top w:val="nil"/>
              <w:left w:val="nil"/>
              <w:bottom w:val="single" w:sz="8" w:space="0" w:color="auto"/>
              <w:right w:val="single" w:sz="4" w:space="0" w:color="auto"/>
            </w:tcBorders>
            <w:shd w:val="clear" w:color="auto" w:fill="auto"/>
            <w:noWrap/>
            <w:vAlign w:val="center"/>
            <w:hideMark/>
          </w:tcPr>
          <w:p w14:paraId="33FC4533"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w:t>
            </w:r>
          </w:p>
        </w:tc>
        <w:tc>
          <w:tcPr>
            <w:tcW w:w="992" w:type="dxa"/>
            <w:tcBorders>
              <w:top w:val="nil"/>
              <w:left w:val="nil"/>
              <w:bottom w:val="single" w:sz="8" w:space="0" w:color="auto"/>
              <w:right w:val="single" w:sz="4" w:space="0" w:color="auto"/>
            </w:tcBorders>
            <w:shd w:val="clear" w:color="auto" w:fill="auto"/>
            <w:noWrap/>
            <w:vAlign w:val="center"/>
            <w:hideMark/>
          </w:tcPr>
          <w:p w14:paraId="6FF797C1"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37%</w:t>
            </w:r>
          </w:p>
        </w:tc>
        <w:tc>
          <w:tcPr>
            <w:tcW w:w="851" w:type="dxa"/>
            <w:tcBorders>
              <w:top w:val="nil"/>
              <w:left w:val="nil"/>
              <w:bottom w:val="single" w:sz="8" w:space="0" w:color="auto"/>
              <w:right w:val="single" w:sz="4" w:space="0" w:color="auto"/>
            </w:tcBorders>
            <w:shd w:val="clear" w:color="auto" w:fill="auto"/>
            <w:noWrap/>
            <w:vAlign w:val="center"/>
            <w:hideMark/>
          </w:tcPr>
          <w:p w14:paraId="0885CC57"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-19%</w:t>
            </w:r>
          </w:p>
        </w:tc>
        <w:tc>
          <w:tcPr>
            <w:tcW w:w="820" w:type="dxa"/>
            <w:tcBorders>
              <w:top w:val="nil"/>
              <w:left w:val="nil"/>
              <w:bottom w:val="single" w:sz="8" w:space="0" w:color="auto"/>
              <w:right w:val="single" w:sz="8" w:space="0" w:color="auto"/>
            </w:tcBorders>
            <w:shd w:val="clear" w:color="auto" w:fill="auto"/>
            <w:noWrap/>
            <w:vAlign w:val="center"/>
            <w:hideMark/>
          </w:tcPr>
          <w:p w14:paraId="0FFCD796" w14:textId="77777777" w:rsidR="00772287" w:rsidRPr="002340FA" w:rsidRDefault="00772287" w:rsidP="00D0295E">
            <w:pPr>
              <w:spacing w:after="0" w:line="280" w:lineRule="exact"/>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-41%</w:t>
            </w:r>
          </w:p>
        </w:tc>
      </w:tr>
    </w:tbl>
    <w:p w14:paraId="51CA398C" w14:textId="77777777" w:rsidR="00772287" w:rsidRPr="002340FA" w:rsidRDefault="00772287" w:rsidP="00772287">
      <w:pPr>
        <w:spacing w:line="280" w:lineRule="exact"/>
        <w:jc w:val="both"/>
        <w:rPr>
          <w:rFonts w:ascii="Times New Roman" w:hAnsi="Times New Roman" w:cs="Times New Roman"/>
          <w:sz w:val="24"/>
          <w:szCs w:val="24"/>
        </w:rPr>
      </w:pPr>
    </w:p>
    <w:p w14:paraId="560E9D07"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Soruşturma konusu eşyanın 2019-2023 yılları arasında gerçekleşen toplam ithalatına ilişkin veriler yukarıdaki tabloda gösterilmektedir.</w:t>
      </w:r>
    </w:p>
    <w:p w14:paraId="09AB0856"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Buna göre, ithalat miktarının soruşturma dönemi boyunca artış gösterdiği tespit edilmiş olup 2019 yılında 166,4 bin ton seviyesinde olan ithalatın 2020 yılında %15 artışla 190,5 bin ton seviyesine, 2021 yılında %23 artışla 233,8 bin ton seviyesine, 2023 yılında %6 artışla 248 bin ton seviyesine ve 2023 yılında %37 artışla 340,2 bin ton seviyesine yükseldiği görülmektedir. Bununla birlikte, soruşturma döneminin ilk yılı olan 2019 yılında 166,4 bin ton seviyesinde olan ithalat 2023 yılında 340,2 bin ton seviyesine yükselmiş, %104 oranında artış göstermiştir.</w:t>
      </w:r>
    </w:p>
    <w:p w14:paraId="016B8936"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İthalat değeri ise soruşturma dönemi boyunca 2023 yılı hariç olmak üzere düzenli bir şekilde artış göstermiş, 2019 yılında 67,8 milyon $ olan ithalat değeri 2020 yılında %16 artışla 78,5 milyon $’a 2021 yılında %80 artışla 141,6 milyon $’a 2022 yılında %34 artışla 190,2 milyon $ seviyesine yükselmiştir. Ancak, ithalat miktarının bir önceki yıla göre 2023 yılında %37 oranında artmasına karşın ithalat değeri -ithal birim fiyatların %41 oranında önemli düşmesi sonucunda- %19 azalışla 153,6 milyon $ olarak gerçekleşmiştir. Bununla birlikte, soruşturma döneminin ilk yılı olan 2019 yılında 67,8 milyon $ seviyesinde olan ithalat değeri 2023 yılında %126 oranında artış göstererek 153,6 milyon $ seviyesine yükselmiştir.</w:t>
      </w:r>
    </w:p>
    <w:p w14:paraId="157B986A"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İthal birim fiyatlar soruşturma dönemi boyunca artış göstermiş olmakla birlikte 2023 yılında bir önceki yıla göre önemli ölçüde, %41 oranında azalış kaydederek 451 $/ton seviyesinde gerçekleşmiştir.</w:t>
      </w:r>
    </w:p>
    <w:p w14:paraId="4192CC09"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Dahilde İşleme Rejimi (DİR) kapsamında yapılan ithalatın miktar bazında toplam ithalat içinde payı soruşturma dönemi boyunca ortalama %2-4 civarında seyretmiştir.</w:t>
      </w:r>
    </w:p>
    <w:p w14:paraId="37AA5D15" w14:textId="7B72759C"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3.2 Nispi ithalat (</w:t>
      </w:r>
      <w:r w:rsidR="00F47FF2">
        <w:rPr>
          <w:rFonts w:ascii="Times New Roman" w:hAnsi="Times New Roman" w:cs="Times New Roman"/>
          <w:b/>
          <w:bCs/>
          <w:sz w:val="24"/>
          <w:szCs w:val="24"/>
        </w:rPr>
        <w:t>İ</w:t>
      </w:r>
      <w:r w:rsidRPr="002340FA">
        <w:rPr>
          <w:rFonts w:ascii="Times New Roman" w:hAnsi="Times New Roman" w:cs="Times New Roman"/>
          <w:b/>
          <w:bCs/>
          <w:sz w:val="24"/>
          <w:szCs w:val="24"/>
        </w:rPr>
        <w:t>thalatın yerli üretime oranı)</w:t>
      </w:r>
    </w:p>
    <w:p w14:paraId="1DC1CEB0"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Nispi ithalat, ithalatın yerli üretime oranına tekabül etmekte olup söz konusu veri aşağıda yer alan tabloda endeks ve değişim oranlarıyla birlikte gösterilmiştir.</w:t>
      </w:r>
    </w:p>
    <w:tbl>
      <w:tblPr>
        <w:tblW w:w="9062" w:type="dxa"/>
        <w:tblLayout w:type="fixed"/>
        <w:tblCellMar>
          <w:left w:w="70" w:type="dxa"/>
          <w:right w:w="70" w:type="dxa"/>
        </w:tblCellMar>
        <w:tblLook w:val="04A0" w:firstRow="1" w:lastRow="0" w:firstColumn="1" w:lastColumn="0" w:noHBand="0" w:noVBand="1"/>
      </w:tblPr>
      <w:tblGrid>
        <w:gridCol w:w="1691"/>
        <w:gridCol w:w="898"/>
        <w:gridCol w:w="1294"/>
        <w:gridCol w:w="1295"/>
        <w:gridCol w:w="1294"/>
        <w:gridCol w:w="1295"/>
        <w:gridCol w:w="1295"/>
      </w:tblGrid>
      <w:tr w:rsidR="00772287" w:rsidRPr="002340FA" w14:paraId="4C89505A" w14:textId="77777777" w:rsidTr="00D0295E">
        <w:trPr>
          <w:trHeight w:val="315"/>
        </w:trPr>
        <w:tc>
          <w:tcPr>
            <w:tcW w:w="169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F230A88" w14:textId="77777777" w:rsidR="00772287" w:rsidRPr="002340FA" w:rsidRDefault="00772287" w:rsidP="00D0295E">
            <w:pPr>
              <w:spacing w:after="0" w:line="240" w:lineRule="auto"/>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Nispi İthalat</w:t>
            </w:r>
          </w:p>
        </w:tc>
        <w:tc>
          <w:tcPr>
            <w:tcW w:w="898" w:type="dxa"/>
            <w:tcBorders>
              <w:top w:val="single" w:sz="8" w:space="0" w:color="auto"/>
              <w:left w:val="nil"/>
              <w:bottom w:val="single" w:sz="4" w:space="0" w:color="auto"/>
              <w:right w:val="single" w:sz="4" w:space="0" w:color="auto"/>
            </w:tcBorders>
            <w:shd w:val="clear" w:color="auto" w:fill="auto"/>
            <w:noWrap/>
            <w:vAlign w:val="center"/>
            <w:hideMark/>
          </w:tcPr>
          <w:p w14:paraId="6E57E004"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Birim</w:t>
            </w:r>
          </w:p>
        </w:tc>
        <w:tc>
          <w:tcPr>
            <w:tcW w:w="1294" w:type="dxa"/>
            <w:tcBorders>
              <w:top w:val="single" w:sz="8" w:space="0" w:color="auto"/>
              <w:left w:val="nil"/>
              <w:bottom w:val="single" w:sz="4" w:space="0" w:color="auto"/>
              <w:right w:val="single" w:sz="4" w:space="0" w:color="auto"/>
            </w:tcBorders>
            <w:shd w:val="clear" w:color="auto" w:fill="auto"/>
            <w:noWrap/>
            <w:vAlign w:val="center"/>
            <w:hideMark/>
          </w:tcPr>
          <w:p w14:paraId="3C39E6C6"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2019</w:t>
            </w:r>
          </w:p>
        </w:tc>
        <w:tc>
          <w:tcPr>
            <w:tcW w:w="1295" w:type="dxa"/>
            <w:tcBorders>
              <w:top w:val="single" w:sz="8" w:space="0" w:color="auto"/>
              <w:left w:val="nil"/>
              <w:bottom w:val="single" w:sz="4" w:space="0" w:color="auto"/>
              <w:right w:val="single" w:sz="4" w:space="0" w:color="auto"/>
            </w:tcBorders>
            <w:shd w:val="clear" w:color="auto" w:fill="auto"/>
            <w:noWrap/>
            <w:vAlign w:val="center"/>
            <w:hideMark/>
          </w:tcPr>
          <w:p w14:paraId="1457145F"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shd w:val="clear" w:color="auto" w:fill="auto"/>
            <w:noWrap/>
            <w:vAlign w:val="center"/>
            <w:hideMark/>
          </w:tcPr>
          <w:p w14:paraId="6BB53D34"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shd w:val="clear" w:color="auto" w:fill="auto"/>
            <w:noWrap/>
            <w:vAlign w:val="center"/>
            <w:hideMark/>
          </w:tcPr>
          <w:p w14:paraId="22F9D2AD"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2022</w:t>
            </w:r>
          </w:p>
        </w:tc>
        <w:tc>
          <w:tcPr>
            <w:tcW w:w="1295" w:type="dxa"/>
            <w:tcBorders>
              <w:top w:val="single" w:sz="8" w:space="0" w:color="auto"/>
              <w:left w:val="nil"/>
              <w:bottom w:val="single" w:sz="4" w:space="0" w:color="auto"/>
              <w:right w:val="single" w:sz="8" w:space="0" w:color="auto"/>
            </w:tcBorders>
            <w:shd w:val="clear" w:color="auto" w:fill="auto"/>
            <w:noWrap/>
            <w:vAlign w:val="center"/>
            <w:hideMark/>
          </w:tcPr>
          <w:p w14:paraId="65140825"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2023</w:t>
            </w:r>
          </w:p>
        </w:tc>
      </w:tr>
      <w:tr w:rsidR="00772287" w:rsidRPr="002340FA" w14:paraId="54CB3640" w14:textId="77777777" w:rsidTr="00D0295E">
        <w:trPr>
          <w:trHeight w:val="315"/>
        </w:trPr>
        <w:tc>
          <w:tcPr>
            <w:tcW w:w="1691" w:type="dxa"/>
            <w:tcBorders>
              <w:top w:val="nil"/>
              <w:left w:val="single" w:sz="8" w:space="0" w:color="auto"/>
              <w:bottom w:val="single" w:sz="4" w:space="0" w:color="auto"/>
              <w:right w:val="single" w:sz="4" w:space="0" w:color="auto"/>
            </w:tcBorders>
            <w:shd w:val="clear" w:color="auto" w:fill="auto"/>
            <w:noWrap/>
            <w:vAlign w:val="center"/>
            <w:hideMark/>
          </w:tcPr>
          <w:p w14:paraId="4ADC6F87" w14:textId="77777777" w:rsidR="00772287" w:rsidRPr="002340FA" w:rsidRDefault="00772287" w:rsidP="00D0295E">
            <w:pPr>
              <w:spacing w:after="0" w:line="240" w:lineRule="auto"/>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İthalat Miktarı</w:t>
            </w:r>
          </w:p>
        </w:tc>
        <w:tc>
          <w:tcPr>
            <w:tcW w:w="898" w:type="dxa"/>
            <w:tcBorders>
              <w:top w:val="nil"/>
              <w:left w:val="nil"/>
              <w:bottom w:val="single" w:sz="4" w:space="0" w:color="auto"/>
              <w:right w:val="single" w:sz="4" w:space="0" w:color="auto"/>
            </w:tcBorders>
            <w:shd w:val="clear" w:color="auto" w:fill="auto"/>
            <w:noWrap/>
            <w:vAlign w:val="center"/>
            <w:hideMark/>
          </w:tcPr>
          <w:p w14:paraId="05AF57ED"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Ton</w:t>
            </w:r>
          </w:p>
        </w:tc>
        <w:tc>
          <w:tcPr>
            <w:tcW w:w="1294" w:type="dxa"/>
            <w:tcBorders>
              <w:top w:val="nil"/>
              <w:left w:val="nil"/>
              <w:bottom w:val="single" w:sz="4" w:space="0" w:color="auto"/>
              <w:right w:val="single" w:sz="4" w:space="0" w:color="auto"/>
            </w:tcBorders>
            <w:shd w:val="clear" w:color="auto" w:fill="auto"/>
            <w:noWrap/>
            <w:vAlign w:val="center"/>
            <w:hideMark/>
          </w:tcPr>
          <w:p w14:paraId="32CCD65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166.403</w:t>
            </w:r>
          </w:p>
        </w:tc>
        <w:tc>
          <w:tcPr>
            <w:tcW w:w="1295" w:type="dxa"/>
            <w:tcBorders>
              <w:top w:val="nil"/>
              <w:left w:val="nil"/>
              <w:bottom w:val="single" w:sz="4" w:space="0" w:color="auto"/>
              <w:right w:val="single" w:sz="4" w:space="0" w:color="auto"/>
            </w:tcBorders>
            <w:shd w:val="clear" w:color="auto" w:fill="auto"/>
            <w:noWrap/>
            <w:vAlign w:val="center"/>
            <w:hideMark/>
          </w:tcPr>
          <w:p w14:paraId="7746DC9B"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190.584</w:t>
            </w:r>
          </w:p>
        </w:tc>
        <w:tc>
          <w:tcPr>
            <w:tcW w:w="1294" w:type="dxa"/>
            <w:tcBorders>
              <w:top w:val="nil"/>
              <w:left w:val="nil"/>
              <w:bottom w:val="single" w:sz="4" w:space="0" w:color="auto"/>
              <w:right w:val="single" w:sz="4" w:space="0" w:color="auto"/>
            </w:tcBorders>
            <w:shd w:val="clear" w:color="auto" w:fill="auto"/>
            <w:noWrap/>
            <w:vAlign w:val="center"/>
            <w:hideMark/>
          </w:tcPr>
          <w:p w14:paraId="748A17D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233.802</w:t>
            </w:r>
          </w:p>
        </w:tc>
        <w:tc>
          <w:tcPr>
            <w:tcW w:w="1295" w:type="dxa"/>
            <w:tcBorders>
              <w:top w:val="nil"/>
              <w:left w:val="nil"/>
              <w:bottom w:val="single" w:sz="4" w:space="0" w:color="auto"/>
              <w:right w:val="single" w:sz="4" w:space="0" w:color="auto"/>
            </w:tcBorders>
            <w:shd w:val="clear" w:color="auto" w:fill="auto"/>
            <w:noWrap/>
            <w:vAlign w:val="center"/>
            <w:hideMark/>
          </w:tcPr>
          <w:p w14:paraId="70C0DAAF"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248.068</w:t>
            </w:r>
          </w:p>
        </w:tc>
        <w:tc>
          <w:tcPr>
            <w:tcW w:w="1295" w:type="dxa"/>
            <w:tcBorders>
              <w:top w:val="nil"/>
              <w:left w:val="nil"/>
              <w:bottom w:val="single" w:sz="4" w:space="0" w:color="auto"/>
              <w:right w:val="single" w:sz="8" w:space="0" w:color="auto"/>
            </w:tcBorders>
            <w:shd w:val="clear" w:color="auto" w:fill="auto"/>
            <w:noWrap/>
            <w:vAlign w:val="center"/>
            <w:hideMark/>
          </w:tcPr>
          <w:p w14:paraId="31924E1B"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340.265</w:t>
            </w:r>
          </w:p>
        </w:tc>
      </w:tr>
      <w:tr w:rsidR="00772287" w:rsidRPr="002340FA" w14:paraId="38C79640" w14:textId="77777777" w:rsidTr="00D0295E">
        <w:trPr>
          <w:trHeight w:val="315"/>
        </w:trPr>
        <w:tc>
          <w:tcPr>
            <w:tcW w:w="1691" w:type="dxa"/>
            <w:tcBorders>
              <w:top w:val="nil"/>
              <w:left w:val="single" w:sz="8" w:space="0" w:color="auto"/>
              <w:bottom w:val="single" w:sz="4" w:space="0" w:color="auto"/>
              <w:right w:val="single" w:sz="4" w:space="0" w:color="auto"/>
            </w:tcBorders>
            <w:shd w:val="clear" w:color="auto" w:fill="auto"/>
            <w:noWrap/>
            <w:vAlign w:val="center"/>
            <w:hideMark/>
          </w:tcPr>
          <w:p w14:paraId="12ED2A4B" w14:textId="77777777" w:rsidR="00772287" w:rsidRPr="002340FA" w:rsidRDefault="00772287" w:rsidP="00D0295E">
            <w:pPr>
              <w:spacing w:after="0" w:line="240" w:lineRule="auto"/>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İthalatın Yerli Üretime Oranı</w:t>
            </w:r>
          </w:p>
        </w:tc>
        <w:tc>
          <w:tcPr>
            <w:tcW w:w="898" w:type="dxa"/>
            <w:tcBorders>
              <w:top w:val="nil"/>
              <w:left w:val="nil"/>
              <w:bottom w:val="single" w:sz="4" w:space="0" w:color="auto"/>
              <w:right w:val="single" w:sz="4" w:space="0" w:color="auto"/>
            </w:tcBorders>
            <w:shd w:val="clear" w:color="auto" w:fill="auto"/>
            <w:noWrap/>
            <w:vAlign w:val="center"/>
            <w:hideMark/>
          </w:tcPr>
          <w:p w14:paraId="2F7C2815"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294" w:type="dxa"/>
            <w:tcBorders>
              <w:top w:val="nil"/>
              <w:left w:val="nil"/>
              <w:bottom w:val="single" w:sz="4" w:space="0" w:color="auto"/>
              <w:right w:val="single" w:sz="4" w:space="0" w:color="auto"/>
            </w:tcBorders>
            <w:shd w:val="clear" w:color="auto" w:fill="auto"/>
            <w:noWrap/>
            <w:vAlign w:val="center"/>
            <w:hideMark/>
          </w:tcPr>
          <w:p w14:paraId="491A873E"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295" w:type="dxa"/>
            <w:tcBorders>
              <w:top w:val="nil"/>
              <w:left w:val="nil"/>
              <w:bottom w:val="single" w:sz="4" w:space="0" w:color="auto"/>
              <w:right w:val="single" w:sz="4" w:space="0" w:color="auto"/>
            </w:tcBorders>
            <w:shd w:val="clear" w:color="auto" w:fill="auto"/>
            <w:noWrap/>
            <w:vAlign w:val="center"/>
            <w:hideMark/>
          </w:tcPr>
          <w:p w14:paraId="19C338A8"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102</w:t>
            </w:r>
          </w:p>
        </w:tc>
        <w:tc>
          <w:tcPr>
            <w:tcW w:w="1294" w:type="dxa"/>
            <w:tcBorders>
              <w:top w:val="nil"/>
              <w:left w:val="nil"/>
              <w:bottom w:val="single" w:sz="4" w:space="0" w:color="auto"/>
              <w:right w:val="single" w:sz="4" w:space="0" w:color="auto"/>
            </w:tcBorders>
            <w:shd w:val="clear" w:color="auto" w:fill="auto"/>
            <w:noWrap/>
            <w:vAlign w:val="center"/>
            <w:hideMark/>
          </w:tcPr>
          <w:p w14:paraId="7161446B"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125</w:t>
            </w:r>
          </w:p>
        </w:tc>
        <w:tc>
          <w:tcPr>
            <w:tcW w:w="1295" w:type="dxa"/>
            <w:tcBorders>
              <w:top w:val="nil"/>
              <w:left w:val="nil"/>
              <w:bottom w:val="single" w:sz="4" w:space="0" w:color="auto"/>
              <w:right w:val="single" w:sz="4" w:space="0" w:color="auto"/>
            </w:tcBorders>
            <w:shd w:val="clear" w:color="auto" w:fill="auto"/>
            <w:noWrap/>
            <w:vAlign w:val="center"/>
            <w:hideMark/>
          </w:tcPr>
          <w:p w14:paraId="3B8AB056"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146</w:t>
            </w:r>
          </w:p>
        </w:tc>
        <w:tc>
          <w:tcPr>
            <w:tcW w:w="1295" w:type="dxa"/>
            <w:tcBorders>
              <w:top w:val="nil"/>
              <w:left w:val="nil"/>
              <w:bottom w:val="single" w:sz="4" w:space="0" w:color="auto"/>
              <w:right w:val="single" w:sz="8" w:space="0" w:color="auto"/>
            </w:tcBorders>
            <w:shd w:val="clear" w:color="auto" w:fill="auto"/>
            <w:noWrap/>
            <w:vAlign w:val="center"/>
            <w:hideMark/>
          </w:tcPr>
          <w:p w14:paraId="529BA9A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210</w:t>
            </w:r>
          </w:p>
        </w:tc>
      </w:tr>
    </w:tbl>
    <w:p w14:paraId="5BDBEC64" w14:textId="77777777" w:rsidR="00772287" w:rsidRPr="002340FA" w:rsidRDefault="00772287" w:rsidP="00772287">
      <w:pPr>
        <w:spacing w:after="180" w:line="300" w:lineRule="exact"/>
        <w:jc w:val="both"/>
        <w:rPr>
          <w:rFonts w:ascii="Times New Roman" w:hAnsi="Times New Roman" w:cs="Times New Roman"/>
          <w:sz w:val="24"/>
          <w:szCs w:val="24"/>
        </w:rPr>
      </w:pPr>
    </w:p>
    <w:p w14:paraId="1F089BAF"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lastRenderedPageBreak/>
        <w:t>Nispi ithalat (ithalatın yerli üretime oranı) soruşturma dönemi boyunca artış kaydetmiş, 2019’da 100 seviyesinde olan endeks değeri 2020’de 102’ye, 2021’de 125’e, 2022’de 146’ya, 2023’de ise önemli ölçüde artarak 210 seviyesine yükselmiştir. Öte yandan nispi ithalatta, soruşturma döneminin son yılında ilk yılına göre %110 oranında ciddi bir artış yaşanmıştır.</w:t>
      </w:r>
    </w:p>
    <w:p w14:paraId="28495CDF"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3.3 İthalatın piyasa payı</w:t>
      </w:r>
    </w:p>
    <w:tbl>
      <w:tblPr>
        <w:tblW w:w="9062" w:type="dxa"/>
        <w:tblLayout w:type="fixed"/>
        <w:tblCellMar>
          <w:left w:w="70" w:type="dxa"/>
          <w:right w:w="70" w:type="dxa"/>
        </w:tblCellMar>
        <w:tblLook w:val="04A0" w:firstRow="1" w:lastRow="0" w:firstColumn="1" w:lastColumn="0" w:noHBand="0" w:noVBand="1"/>
      </w:tblPr>
      <w:tblGrid>
        <w:gridCol w:w="1691"/>
        <w:gridCol w:w="898"/>
        <w:gridCol w:w="1294"/>
        <w:gridCol w:w="1295"/>
        <w:gridCol w:w="1294"/>
        <w:gridCol w:w="1295"/>
        <w:gridCol w:w="1295"/>
      </w:tblGrid>
      <w:tr w:rsidR="00772287" w:rsidRPr="002340FA" w14:paraId="313D8BEC" w14:textId="77777777" w:rsidTr="00D0295E">
        <w:trPr>
          <w:trHeight w:val="315"/>
        </w:trPr>
        <w:tc>
          <w:tcPr>
            <w:tcW w:w="169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17C97C1" w14:textId="77777777" w:rsidR="00772287" w:rsidRPr="002340FA" w:rsidRDefault="00772287" w:rsidP="00D0295E">
            <w:pPr>
              <w:spacing w:after="0" w:line="240" w:lineRule="auto"/>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İthalatın Piyasa Payı</w:t>
            </w:r>
          </w:p>
        </w:tc>
        <w:tc>
          <w:tcPr>
            <w:tcW w:w="898" w:type="dxa"/>
            <w:tcBorders>
              <w:top w:val="single" w:sz="8" w:space="0" w:color="auto"/>
              <w:left w:val="nil"/>
              <w:bottom w:val="single" w:sz="4" w:space="0" w:color="auto"/>
              <w:right w:val="single" w:sz="4" w:space="0" w:color="auto"/>
            </w:tcBorders>
            <w:shd w:val="clear" w:color="auto" w:fill="auto"/>
            <w:noWrap/>
            <w:vAlign w:val="center"/>
            <w:hideMark/>
          </w:tcPr>
          <w:p w14:paraId="43D67831"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Birim</w:t>
            </w:r>
          </w:p>
        </w:tc>
        <w:tc>
          <w:tcPr>
            <w:tcW w:w="1294" w:type="dxa"/>
            <w:tcBorders>
              <w:top w:val="single" w:sz="8" w:space="0" w:color="auto"/>
              <w:left w:val="nil"/>
              <w:bottom w:val="single" w:sz="4" w:space="0" w:color="auto"/>
              <w:right w:val="single" w:sz="4" w:space="0" w:color="auto"/>
            </w:tcBorders>
            <w:shd w:val="clear" w:color="auto" w:fill="auto"/>
            <w:noWrap/>
            <w:vAlign w:val="center"/>
            <w:hideMark/>
          </w:tcPr>
          <w:p w14:paraId="15CDC8AB"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2019</w:t>
            </w:r>
          </w:p>
        </w:tc>
        <w:tc>
          <w:tcPr>
            <w:tcW w:w="1295" w:type="dxa"/>
            <w:tcBorders>
              <w:top w:val="single" w:sz="8" w:space="0" w:color="auto"/>
              <w:left w:val="nil"/>
              <w:bottom w:val="single" w:sz="4" w:space="0" w:color="auto"/>
              <w:right w:val="single" w:sz="4" w:space="0" w:color="auto"/>
            </w:tcBorders>
            <w:shd w:val="clear" w:color="auto" w:fill="auto"/>
            <w:noWrap/>
            <w:vAlign w:val="center"/>
            <w:hideMark/>
          </w:tcPr>
          <w:p w14:paraId="12980BEF"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shd w:val="clear" w:color="auto" w:fill="auto"/>
            <w:noWrap/>
            <w:vAlign w:val="center"/>
            <w:hideMark/>
          </w:tcPr>
          <w:p w14:paraId="6E0E920F"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shd w:val="clear" w:color="auto" w:fill="auto"/>
            <w:noWrap/>
            <w:vAlign w:val="center"/>
            <w:hideMark/>
          </w:tcPr>
          <w:p w14:paraId="4006392B"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2022</w:t>
            </w:r>
          </w:p>
        </w:tc>
        <w:tc>
          <w:tcPr>
            <w:tcW w:w="1295" w:type="dxa"/>
            <w:tcBorders>
              <w:top w:val="single" w:sz="8" w:space="0" w:color="auto"/>
              <w:left w:val="nil"/>
              <w:bottom w:val="single" w:sz="4" w:space="0" w:color="auto"/>
              <w:right w:val="single" w:sz="8" w:space="0" w:color="auto"/>
            </w:tcBorders>
            <w:shd w:val="clear" w:color="auto" w:fill="auto"/>
            <w:noWrap/>
            <w:vAlign w:val="center"/>
            <w:hideMark/>
          </w:tcPr>
          <w:p w14:paraId="49CBF9DE"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2023</w:t>
            </w:r>
          </w:p>
        </w:tc>
      </w:tr>
      <w:tr w:rsidR="00772287" w:rsidRPr="002340FA" w14:paraId="2DA52BD4" w14:textId="77777777" w:rsidTr="00D0295E">
        <w:trPr>
          <w:trHeight w:val="315"/>
        </w:trPr>
        <w:tc>
          <w:tcPr>
            <w:tcW w:w="1691" w:type="dxa"/>
            <w:tcBorders>
              <w:top w:val="nil"/>
              <w:left w:val="single" w:sz="8" w:space="0" w:color="auto"/>
              <w:bottom w:val="single" w:sz="4" w:space="0" w:color="auto"/>
              <w:right w:val="single" w:sz="4" w:space="0" w:color="auto"/>
            </w:tcBorders>
            <w:shd w:val="clear" w:color="auto" w:fill="auto"/>
            <w:noWrap/>
            <w:vAlign w:val="center"/>
            <w:hideMark/>
          </w:tcPr>
          <w:p w14:paraId="212DA125" w14:textId="77777777" w:rsidR="00772287" w:rsidRPr="002340FA" w:rsidRDefault="00772287" w:rsidP="00D0295E">
            <w:pPr>
              <w:spacing w:after="0" w:line="240" w:lineRule="auto"/>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İthalatın Piyasa Payı</w:t>
            </w:r>
          </w:p>
        </w:tc>
        <w:tc>
          <w:tcPr>
            <w:tcW w:w="898" w:type="dxa"/>
            <w:tcBorders>
              <w:top w:val="nil"/>
              <w:left w:val="nil"/>
              <w:bottom w:val="single" w:sz="4" w:space="0" w:color="auto"/>
              <w:right w:val="single" w:sz="4" w:space="0" w:color="auto"/>
            </w:tcBorders>
            <w:shd w:val="clear" w:color="auto" w:fill="auto"/>
            <w:noWrap/>
            <w:vAlign w:val="center"/>
            <w:hideMark/>
          </w:tcPr>
          <w:p w14:paraId="6E8BDC0F"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294" w:type="dxa"/>
            <w:tcBorders>
              <w:top w:val="nil"/>
              <w:left w:val="nil"/>
              <w:bottom w:val="single" w:sz="4" w:space="0" w:color="auto"/>
              <w:right w:val="single" w:sz="4" w:space="0" w:color="auto"/>
            </w:tcBorders>
            <w:shd w:val="clear" w:color="auto" w:fill="auto"/>
            <w:noWrap/>
            <w:vAlign w:val="center"/>
            <w:hideMark/>
          </w:tcPr>
          <w:p w14:paraId="06862091"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295" w:type="dxa"/>
            <w:tcBorders>
              <w:top w:val="nil"/>
              <w:left w:val="nil"/>
              <w:bottom w:val="single" w:sz="4" w:space="0" w:color="auto"/>
              <w:right w:val="single" w:sz="4" w:space="0" w:color="auto"/>
            </w:tcBorders>
            <w:shd w:val="clear" w:color="auto" w:fill="auto"/>
            <w:noWrap/>
            <w:vAlign w:val="center"/>
            <w:hideMark/>
          </w:tcPr>
          <w:p w14:paraId="629C0A8E"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294" w:type="dxa"/>
            <w:tcBorders>
              <w:top w:val="nil"/>
              <w:left w:val="nil"/>
              <w:bottom w:val="single" w:sz="4" w:space="0" w:color="auto"/>
              <w:right w:val="single" w:sz="4" w:space="0" w:color="auto"/>
            </w:tcBorders>
            <w:shd w:val="clear" w:color="auto" w:fill="auto"/>
            <w:noWrap/>
            <w:vAlign w:val="center"/>
            <w:hideMark/>
          </w:tcPr>
          <w:p w14:paraId="174DC60D"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115</w:t>
            </w:r>
          </w:p>
        </w:tc>
        <w:tc>
          <w:tcPr>
            <w:tcW w:w="1295" w:type="dxa"/>
            <w:tcBorders>
              <w:top w:val="nil"/>
              <w:left w:val="nil"/>
              <w:bottom w:val="single" w:sz="4" w:space="0" w:color="auto"/>
              <w:right w:val="single" w:sz="4" w:space="0" w:color="auto"/>
            </w:tcBorders>
            <w:shd w:val="clear" w:color="auto" w:fill="auto"/>
            <w:noWrap/>
            <w:vAlign w:val="center"/>
            <w:hideMark/>
          </w:tcPr>
          <w:p w14:paraId="1DB399BF"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142</w:t>
            </w:r>
          </w:p>
        </w:tc>
        <w:tc>
          <w:tcPr>
            <w:tcW w:w="1295" w:type="dxa"/>
            <w:tcBorders>
              <w:top w:val="nil"/>
              <w:left w:val="nil"/>
              <w:bottom w:val="single" w:sz="4" w:space="0" w:color="auto"/>
              <w:right w:val="single" w:sz="8" w:space="0" w:color="auto"/>
            </w:tcBorders>
            <w:shd w:val="clear" w:color="auto" w:fill="auto"/>
            <w:noWrap/>
            <w:vAlign w:val="center"/>
            <w:hideMark/>
          </w:tcPr>
          <w:p w14:paraId="0E1DF0A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185</w:t>
            </w:r>
          </w:p>
        </w:tc>
      </w:tr>
    </w:tbl>
    <w:p w14:paraId="348F279A" w14:textId="77777777" w:rsidR="00772287" w:rsidRPr="002340FA" w:rsidRDefault="00772287" w:rsidP="00772287">
      <w:pPr>
        <w:spacing w:after="180" w:line="300" w:lineRule="exact"/>
        <w:jc w:val="both"/>
        <w:rPr>
          <w:rFonts w:ascii="Times New Roman" w:hAnsi="Times New Roman" w:cs="Times New Roman"/>
          <w:b/>
          <w:bCs/>
          <w:sz w:val="24"/>
          <w:szCs w:val="24"/>
        </w:rPr>
      </w:pPr>
    </w:p>
    <w:p w14:paraId="72EF12A3"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İthalatın piyasa payı, 2019 ve 2020 yıllarında yatay seyrettikten sonra soruşturma dönemi boyunca sürekli artış göstermiştir. Buna göre, 2019’da 100 olan endeks değeri 2021’de 115’e 2022’de 142’ye, 2023’de 185’e yükselerek soruşturma dönemindeki en yüksek seviyesine ulaşmıştır. Soruşturma döneminin ilk yılına göre son yılında artış oranı %85 olarak gerçekleşmiştir.</w:t>
      </w:r>
    </w:p>
    <w:p w14:paraId="58AAF34B"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3.4 Ülkeler itibarıyla ithalat</w:t>
      </w:r>
    </w:p>
    <w:tbl>
      <w:tblPr>
        <w:tblW w:w="9057" w:type="dxa"/>
        <w:tblCellMar>
          <w:left w:w="70" w:type="dxa"/>
          <w:right w:w="70" w:type="dxa"/>
        </w:tblCellMar>
        <w:tblLook w:val="04A0" w:firstRow="1" w:lastRow="0" w:firstColumn="1" w:lastColumn="0" w:noHBand="0" w:noVBand="1"/>
      </w:tblPr>
      <w:tblGrid>
        <w:gridCol w:w="1416"/>
        <w:gridCol w:w="842"/>
        <w:gridCol w:w="851"/>
        <w:gridCol w:w="850"/>
        <w:gridCol w:w="851"/>
        <w:gridCol w:w="850"/>
        <w:gridCol w:w="709"/>
        <w:gridCol w:w="709"/>
        <w:gridCol w:w="757"/>
        <w:gridCol w:w="611"/>
        <w:gridCol w:w="611"/>
      </w:tblGrid>
      <w:tr w:rsidR="00772287" w:rsidRPr="002340FA" w14:paraId="0BC614C3" w14:textId="77777777" w:rsidTr="00D0295E">
        <w:trPr>
          <w:trHeight w:val="255"/>
        </w:trPr>
        <w:tc>
          <w:tcPr>
            <w:tcW w:w="1416"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1447CA8"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Ülke Adı</w:t>
            </w:r>
          </w:p>
        </w:tc>
        <w:tc>
          <w:tcPr>
            <w:tcW w:w="4244" w:type="dxa"/>
            <w:gridSpan w:val="5"/>
            <w:tcBorders>
              <w:top w:val="single" w:sz="8" w:space="0" w:color="auto"/>
              <w:left w:val="nil"/>
              <w:bottom w:val="single" w:sz="4" w:space="0" w:color="auto"/>
              <w:right w:val="single" w:sz="4" w:space="0" w:color="auto"/>
            </w:tcBorders>
            <w:shd w:val="clear" w:color="auto" w:fill="auto"/>
            <w:noWrap/>
            <w:vAlign w:val="center"/>
            <w:hideMark/>
          </w:tcPr>
          <w:p w14:paraId="2B6F0EE7"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Miktar (ton)</w:t>
            </w:r>
          </w:p>
        </w:tc>
        <w:tc>
          <w:tcPr>
            <w:tcW w:w="3397" w:type="dxa"/>
            <w:gridSpan w:val="5"/>
            <w:tcBorders>
              <w:top w:val="single" w:sz="8" w:space="0" w:color="auto"/>
              <w:left w:val="nil"/>
              <w:bottom w:val="single" w:sz="4" w:space="0" w:color="auto"/>
              <w:right w:val="single" w:sz="4" w:space="0" w:color="auto"/>
            </w:tcBorders>
            <w:shd w:val="clear" w:color="auto" w:fill="auto"/>
            <w:noWrap/>
            <w:vAlign w:val="center"/>
            <w:hideMark/>
          </w:tcPr>
          <w:p w14:paraId="5E9B6D89"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Değer (milyon $)</w:t>
            </w:r>
          </w:p>
        </w:tc>
      </w:tr>
      <w:tr w:rsidR="00772287" w:rsidRPr="002340FA" w14:paraId="19F8D29E" w14:textId="77777777" w:rsidTr="00D0295E">
        <w:trPr>
          <w:trHeight w:val="255"/>
        </w:trPr>
        <w:tc>
          <w:tcPr>
            <w:tcW w:w="1416" w:type="dxa"/>
            <w:vMerge/>
            <w:tcBorders>
              <w:top w:val="single" w:sz="8" w:space="0" w:color="auto"/>
              <w:left w:val="single" w:sz="8" w:space="0" w:color="auto"/>
              <w:bottom w:val="single" w:sz="4" w:space="0" w:color="auto"/>
              <w:right w:val="single" w:sz="4" w:space="0" w:color="auto"/>
            </w:tcBorders>
            <w:vAlign w:val="center"/>
            <w:hideMark/>
          </w:tcPr>
          <w:p w14:paraId="49173735" w14:textId="77777777" w:rsidR="00772287" w:rsidRPr="002340FA" w:rsidRDefault="00772287" w:rsidP="00D0295E">
            <w:pPr>
              <w:spacing w:after="0" w:line="280" w:lineRule="exact"/>
              <w:rPr>
                <w:rFonts w:ascii="Times New Roman" w:eastAsia="Times New Roman" w:hAnsi="Times New Roman" w:cs="Times New Roman"/>
                <w:b/>
                <w:bCs/>
                <w:color w:val="000000"/>
                <w:sz w:val="20"/>
                <w:szCs w:val="20"/>
                <w:lang w:eastAsia="tr-TR"/>
              </w:rPr>
            </w:pPr>
          </w:p>
        </w:tc>
        <w:tc>
          <w:tcPr>
            <w:tcW w:w="842" w:type="dxa"/>
            <w:tcBorders>
              <w:top w:val="nil"/>
              <w:left w:val="nil"/>
              <w:bottom w:val="single" w:sz="4" w:space="0" w:color="auto"/>
              <w:right w:val="single" w:sz="4" w:space="0" w:color="auto"/>
            </w:tcBorders>
            <w:shd w:val="clear" w:color="auto" w:fill="auto"/>
            <w:noWrap/>
            <w:vAlign w:val="center"/>
            <w:hideMark/>
          </w:tcPr>
          <w:p w14:paraId="1AADD934"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2019</w:t>
            </w:r>
          </w:p>
        </w:tc>
        <w:tc>
          <w:tcPr>
            <w:tcW w:w="851" w:type="dxa"/>
            <w:tcBorders>
              <w:top w:val="nil"/>
              <w:left w:val="nil"/>
              <w:bottom w:val="single" w:sz="4" w:space="0" w:color="auto"/>
              <w:right w:val="single" w:sz="4" w:space="0" w:color="auto"/>
            </w:tcBorders>
            <w:shd w:val="clear" w:color="auto" w:fill="auto"/>
            <w:noWrap/>
            <w:vAlign w:val="center"/>
            <w:hideMark/>
          </w:tcPr>
          <w:p w14:paraId="1A72576A"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2020</w:t>
            </w:r>
          </w:p>
        </w:tc>
        <w:tc>
          <w:tcPr>
            <w:tcW w:w="850" w:type="dxa"/>
            <w:tcBorders>
              <w:top w:val="nil"/>
              <w:left w:val="nil"/>
              <w:bottom w:val="single" w:sz="4" w:space="0" w:color="auto"/>
              <w:right w:val="single" w:sz="4" w:space="0" w:color="auto"/>
            </w:tcBorders>
            <w:shd w:val="clear" w:color="auto" w:fill="auto"/>
            <w:noWrap/>
            <w:vAlign w:val="center"/>
            <w:hideMark/>
          </w:tcPr>
          <w:p w14:paraId="2F9047D7"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2021</w:t>
            </w:r>
          </w:p>
        </w:tc>
        <w:tc>
          <w:tcPr>
            <w:tcW w:w="851" w:type="dxa"/>
            <w:tcBorders>
              <w:top w:val="nil"/>
              <w:left w:val="nil"/>
              <w:bottom w:val="single" w:sz="4" w:space="0" w:color="auto"/>
              <w:right w:val="single" w:sz="4" w:space="0" w:color="auto"/>
            </w:tcBorders>
            <w:shd w:val="clear" w:color="auto" w:fill="auto"/>
            <w:noWrap/>
            <w:vAlign w:val="center"/>
            <w:hideMark/>
          </w:tcPr>
          <w:p w14:paraId="4D20BDC6"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2022</w:t>
            </w:r>
          </w:p>
        </w:tc>
        <w:tc>
          <w:tcPr>
            <w:tcW w:w="850" w:type="dxa"/>
            <w:tcBorders>
              <w:top w:val="nil"/>
              <w:left w:val="nil"/>
              <w:bottom w:val="single" w:sz="4" w:space="0" w:color="auto"/>
              <w:right w:val="single" w:sz="4" w:space="0" w:color="auto"/>
            </w:tcBorders>
            <w:shd w:val="clear" w:color="auto" w:fill="auto"/>
            <w:noWrap/>
            <w:vAlign w:val="center"/>
            <w:hideMark/>
          </w:tcPr>
          <w:p w14:paraId="7C1D3762"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2023</w:t>
            </w:r>
          </w:p>
        </w:tc>
        <w:tc>
          <w:tcPr>
            <w:tcW w:w="709" w:type="dxa"/>
            <w:tcBorders>
              <w:top w:val="nil"/>
              <w:left w:val="nil"/>
              <w:bottom w:val="single" w:sz="4" w:space="0" w:color="auto"/>
              <w:right w:val="single" w:sz="4" w:space="0" w:color="auto"/>
            </w:tcBorders>
            <w:shd w:val="clear" w:color="auto" w:fill="auto"/>
            <w:noWrap/>
            <w:vAlign w:val="center"/>
            <w:hideMark/>
          </w:tcPr>
          <w:p w14:paraId="07E29E5F"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2019</w:t>
            </w:r>
          </w:p>
        </w:tc>
        <w:tc>
          <w:tcPr>
            <w:tcW w:w="709" w:type="dxa"/>
            <w:tcBorders>
              <w:top w:val="nil"/>
              <w:left w:val="nil"/>
              <w:bottom w:val="single" w:sz="4" w:space="0" w:color="auto"/>
              <w:right w:val="single" w:sz="4" w:space="0" w:color="auto"/>
            </w:tcBorders>
            <w:shd w:val="clear" w:color="auto" w:fill="auto"/>
            <w:noWrap/>
            <w:vAlign w:val="center"/>
            <w:hideMark/>
          </w:tcPr>
          <w:p w14:paraId="1BE2480E"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2020</w:t>
            </w:r>
          </w:p>
        </w:tc>
        <w:tc>
          <w:tcPr>
            <w:tcW w:w="757" w:type="dxa"/>
            <w:tcBorders>
              <w:top w:val="nil"/>
              <w:left w:val="nil"/>
              <w:bottom w:val="single" w:sz="4" w:space="0" w:color="auto"/>
              <w:right w:val="single" w:sz="4" w:space="0" w:color="auto"/>
            </w:tcBorders>
            <w:shd w:val="clear" w:color="auto" w:fill="auto"/>
            <w:noWrap/>
            <w:vAlign w:val="center"/>
            <w:hideMark/>
          </w:tcPr>
          <w:p w14:paraId="52F2F4A3"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2021</w:t>
            </w:r>
          </w:p>
        </w:tc>
        <w:tc>
          <w:tcPr>
            <w:tcW w:w="611" w:type="dxa"/>
            <w:tcBorders>
              <w:top w:val="nil"/>
              <w:left w:val="nil"/>
              <w:bottom w:val="single" w:sz="4" w:space="0" w:color="auto"/>
              <w:right w:val="single" w:sz="4" w:space="0" w:color="auto"/>
            </w:tcBorders>
            <w:shd w:val="clear" w:color="auto" w:fill="auto"/>
            <w:noWrap/>
            <w:vAlign w:val="center"/>
            <w:hideMark/>
          </w:tcPr>
          <w:p w14:paraId="4D9FE9DB"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2022</w:t>
            </w:r>
          </w:p>
        </w:tc>
        <w:tc>
          <w:tcPr>
            <w:tcW w:w="611" w:type="dxa"/>
            <w:tcBorders>
              <w:top w:val="nil"/>
              <w:left w:val="nil"/>
              <w:bottom w:val="single" w:sz="4" w:space="0" w:color="auto"/>
              <w:right w:val="single" w:sz="4" w:space="0" w:color="auto"/>
            </w:tcBorders>
            <w:shd w:val="clear" w:color="auto" w:fill="auto"/>
            <w:noWrap/>
            <w:vAlign w:val="center"/>
            <w:hideMark/>
          </w:tcPr>
          <w:p w14:paraId="0ADB4BD5"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2023</w:t>
            </w:r>
          </w:p>
        </w:tc>
      </w:tr>
      <w:tr w:rsidR="00772287" w:rsidRPr="002340FA" w14:paraId="6857F2D2" w14:textId="77777777" w:rsidTr="00D0295E">
        <w:trPr>
          <w:trHeight w:val="255"/>
        </w:trPr>
        <w:tc>
          <w:tcPr>
            <w:tcW w:w="1416" w:type="dxa"/>
            <w:tcBorders>
              <w:top w:val="nil"/>
              <w:left w:val="single" w:sz="8" w:space="0" w:color="auto"/>
              <w:bottom w:val="single" w:sz="4" w:space="0" w:color="auto"/>
              <w:right w:val="single" w:sz="4" w:space="0" w:color="auto"/>
            </w:tcBorders>
            <w:shd w:val="clear" w:color="auto" w:fill="auto"/>
            <w:noWrap/>
            <w:vAlign w:val="center"/>
            <w:hideMark/>
          </w:tcPr>
          <w:p w14:paraId="79B4BFA0" w14:textId="77777777" w:rsidR="00772287" w:rsidRPr="002340FA" w:rsidRDefault="00772287" w:rsidP="00D0295E">
            <w:pPr>
              <w:spacing w:after="0" w:line="280" w:lineRule="exact"/>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Almanya</w:t>
            </w:r>
          </w:p>
        </w:tc>
        <w:tc>
          <w:tcPr>
            <w:tcW w:w="842" w:type="dxa"/>
            <w:tcBorders>
              <w:top w:val="nil"/>
              <w:left w:val="nil"/>
              <w:bottom w:val="single" w:sz="4" w:space="0" w:color="auto"/>
              <w:right w:val="single" w:sz="4" w:space="0" w:color="auto"/>
            </w:tcBorders>
            <w:shd w:val="clear" w:color="auto" w:fill="auto"/>
            <w:noWrap/>
            <w:vAlign w:val="center"/>
            <w:hideMark/>
          </w:tcPr>
          <w:p w14:paraId="2628613A"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65.925</w:t>
            </w:r>
          </w:p>
        </w:tc>
        <w:tc>
          <w:tcPr>
            <w:tcW w:w="851" w:type="dxa"/>
            <w:tcBorders>
              <w:top w:val="nil"/>
              <w:left w:val="nil"/>
              <w:bottom w:val="single" w:sz="4" w:space="0" w:color="auto"/>
              <w:right w:val="single" w:sz="4" w:space="0" w:color="auto"/>
            </w:tcBorders>
            <w:shd w:val="clear" w:color="auto" w:fill="auto"/>
            <w:noWrap/>
            <w:vAlign w:val="center"/>
            <w:hideMark/>
          </w:tcPr>
          <w:p w14:paraId="7626AA89"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80.209</w:t>
            </w:r>
          </w:p>
        </w:tc>
        <w:tc>
          <w:tcPr>
            <w:tcW w:w="850" w:type="dxa"/>
            <w:tcBorders>
              <w:top w:val="nil"/>
              <w:left w:val="nil"/>
              <w:bottom w:val="single" w:sz="4" w:space="0" w:color="auto"/>
              <w:right w:val="single" w:sz="4" w:space="0" w:color="auto"/>
            </w:tcBorders>
            <w:shd w:val="clear" w:color="auto" w:fill="auto"/>
            <w:noWrap/>
            <w:vAlign w:val="center"/>
            <w:hideMark/>
          </w:tcPr>
          <w:p w14:paraId="44693A03"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69.348</w:t>
            </w:r>
          </w:p>
        </w:tc>
        <w:tc>
          <w:tcPr>
            <w:tcW w:w="851" w:type="dxa"/>
            <w:tcBorders>
              <w:top w:val="nil"/>
              <w:left w:val="nil"/>
              <w:bottom w:val="single" w:sz="4" w:space="0" w:color="auto"/>
              <w:right w:val="single" w:sz="4" w:space="0" w:color="auto"/>
            </w:tcBorders>
            <w:shd w:val="clear" w:color="auto" w:fill="auto"/>
            <w:noWrap/>
            <w:vAlign w:val="center"/>
            <w:hideMark/>
          </w:tcPr>
          <w:p w14:paraId="13E362D4"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77.849</w:t>
            </w:r>
          </w:p>
        </w:tc>
        <w:tc>
          <w:tcPr>
            <w:tcW w:w="850" w:type="dxa"/>
            <w:tcBorders>
              <w:top w:val="nil"/>
              <w:left w:val="nil"/>
              <w:bottom w:val="single" w:sz="4" w:space="0" w:color="auto"/>
              <w:right w:val="single" w:sz="4" w:space="0" w:color="auto"/>
            </w:tcBorders>
            <w:shd w:val="clear" w:color="auto" w:fill="auto"/>
            <w:noWrap/>
            <w:vAlign w:val="center"/>
            <w:hideMark/>
          </w:tcPr>
          <w:p w14:paraId="15531B69"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102.335</w:t>
            </w:r>
          </w:p>
        </w:tc>
        <w:tc>
          <w:tcPr>
            <w:tcW w:w="709" w:type="dxa"/>
            <w:tcBorders>
              <w:top w:val="nil"/>
              <w:left w:val="nil"/>
              <w:bottom w:val="single" w:sz="4" w:space="0" w:color="auto"/>
              <w:right w:val="single" w:sz="4" w:space="0" w:color="auto"/>
            </w:tcBorders>
            <w:shd w:val="clear" w:color="auto" w:fill="auto"/>
            <w:noWrap/>
            <w:vAlign w:val="center"/>
            <w:hideMark/>
          </w:tcPr>
          <w:p w14:paraId="304F4E0F"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29</w:t>
            </w:r>
          </w:p>
        </w:tc>
        <w:tc>
          <w:tcPr>
            <w:tcW w:w="709" w:type="dxa"/>
            <w:tcBorders>
              <w:top w:val="nil"/>
              <w:left w:val="nil"/>
              <w:bottom w:val="single" w:sz="4" w:space="0" w:color="auto"/>
              <w:right w:val="single" w:sz="4" w:space="0" w:color="auto"/>
            </w:tcBorders>
            <w:shd w:val="clear" w:color="auto" w:fill="auto"/>
            <w:noWrap/>
            <w:vAlign w:val="center"/>
            <w:hideMark/>
          </w:tcPr>
          <w:p w14:paraId="6D7250CA"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36</w:t>
            </w:r>
          </w:p>
        </w:tc>
        <w:tc>
          <w:tcPr>
            <w:tcW w:w="757" w:type="dxa"/>
            <w:tcBorders>
              <w:top w:val="nil"/>
              <w:left w:val="nil"/>
              <w:bottom w:val="single" w:sz="4" w:space="0" w:color="auto"/>
              <w:right w:val="single" w:sz="4" w:space="0" w:color="auto"/>
            </w:tcBorders>
            <w:shd w:val="clear" w:color="auto" w:fill="auto"/>
            <w:noWrap/>
            <w:vAlign w:val="center"/>
            <w:hideMark/>
          </w:tcPr>
          <w:p w14:paraId="55925030"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40</w:t>
            </w:r>
          </w:p>
        </w:tc>
        <w:tc>
          <w:tcPr>
            <w:tcW w:w="611" w:type="dxa"/>
            <w:tcBorders>
              <w:top w:val="nil"/>
              <w:left w:val="nil"/>
              <w:bottom w:val="single" w:sz="4" w:space="0" w:color="auto"/>
              <w:right w:val="single" w:sz="4" w:space="0" w:color="auto"/>
            </w:tcBorders>
            <w:shd w:val="clear" w:color="auto" w:fill="auto"/>
            <w:noWrap/>
            <w:vAlign w:val="center"/>
            <w:hideMark/>
          </w:tcPr>
          <w:p w14:paraId="691B368C"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61</w:t>
            </w:r>
          </w:p>
        </w:tc>
        <w:tc>
          <w:tcPr>
            <w:tcW w:w="611" w:type="dxa"/>
            <w:tcBorders>
              <w:top w:val="nil"/>
              <w:left w:val="nil"/>
              <w:bottom w:val="single" w:sz="4" w:space="0" w:color="auto"/>
              <w:right w:val="single" w:sz="4" w:space="0" w:color="auto"/>
            </w:tcBorders>
            <w:shd w:val="clear" w:color="auto" w:fill="auto"/>
            <w:noWrap/>
            <w:vAlign w:val="center"/>
            <w:hideMark/>
          </w:tcPr>
          <w:p w14:paraId="54089564"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50</w:t>
            </w:r>
          </w:p>
        </w:tc>
      </w:tr>
      <w:tr w:rsidR="00772287" w:rsidRPr="002340FA" w14:paraId="65ADC06C" w14:textId="77777777" w:rsidTr="00D0295E">
        <w:trPr>
          <w:trHeight w:val="255"/>
        </w:trPr>
        <w:tc>
          <w:tcPr>
            <w:tcW w:w="1416" w:type="dxa"/>
            <w:tcBorders>
              <w:top w:val="nil"/>
              <w:left w:val="single" w:sz="8" w:space="0" w:color="auto"/>
              <w:bottom w:val="single" w:sz="4" w:space="0" w:color="auto"/>
              <w:right w:val="single" w:sz="4" w:space="0" w:color="auto"/>
            </w:tcBorders>
            <w:shd w:val="clear" w:color="auto" w:fill="auto"/>
            <w:noWrap/>
            <w:vAlign w:val="center"/>
            <w:hideMark/>
          </w:tcPr>
          <w:p w14:paraId="110B45CC" w14:textId="77777777" w:rsidR="00772287" w:rsidRPr="002340FA" w:rsidRDefault="00772287" w:rsidP="00D0295E">
            <w:pPr>
              <w:spacing w:after="0" w:line="280" w:lineRule="exact"/>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İsrail</w:t>
            </w:r>
          </w:p>
        </w:tc>
        <w:tc>
          <w:tcPr>
            <w:tcW w:w="842" w:type="dxa"/>
            <w:tcBorders>
              <w:top w:val="nil"/>
              <w:left w:val="nil"/>
              <w:bottom w:val="single" w:sz="4" w:space="0" w:color="auto"/>
              <w:right w:val="single" w:sz="4" w:space="0" w:color="auto"/>
            </w:tcBorders>
            <w:shd w:val="clear" w:color="auto" w:fill="auto"/>
            <w:noWrap/>
            <w:vAlign w:val="center"/>
            <w:hideMark/>
          </w:tcPr>
          <w:p w14:paraId="78815EF9"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43.926</w:t>
            </w:r>
          </w:p>
        </w:tc>
        <w:tc>
          <w:tcPr>
            <w:tcW w:w="851" w:type="dxa"/>
            <w:tcBorders>
              <w:top w:val="nil"/>
              <w:left w:val="nil"/>
              <w:bottom w:val="single" w:sz="4" w:space="0" w:color="auto"/>
              <w:right w:val="single" w:sz="4" w:space="0" w:color="auto"/>
            </w:tcBorders>
            <w:shd w:val="clear" w:color="auto" w:fill="auto"/>
            <w:noWrap/>
            <w:vAlign w:val="center"/>
            <w:hideMark/>
          </w:tcPr>
          <w:p w14:paraId="16257BAF"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41.498</w:t>
            </w:r>
          </w:p>
        </w:tc>
        <w:tc>
          <w:tcPr>
            <w:tcW w:w="850" w:type="dxa"/>
            <w:tcBorders>
              <w:top w:val="nil"/>
              <w:left w:val="nil"/>
              <w:bottom w:val="single" w:sz="4" w:space="0" w:color="auto"/>
              <w:right w:val="single" w:sz="4" w:space="0" w:color="auto"/>
            </w:tcBorders>
            <w:shd w:val="clear" w:color="auto" w:fill="auto"/>
            <w:noWrap/>
            <w:vAlign w:val="center"/>
            <w:hideMark/>
          </w:tcPr>
          <w:p w14:paraId="37069A8D"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30.783</w:t>
            </w:r>
          </w:p>
        </w:tc>
        <w:tc>
          <w:tcPr>
            <w:tcW w:w="851" w:type="dxa"/>
            <w:tcBorders>
              <w:top w:val="nil"/>
              <w:left w:val="nil"/>
              <w:bottom w:val="single" w:sz="4" w:space="0" w:color="auto"/>
              <w:right w:val="single" w:sz="4" w:space="0" w:color="auto"/>
            </w:tcBorders>
            <w:shd w:val="clear" w:color="auto" w:fill="auto"/>
            <w:noWrap/>
            <w:vAlign w:val="center"/>
            <w:hideMark/>
          </w:tcPr>
          <w:p w14:paraId="1363F2FC"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32.705</w:t>
            </w:r>
          </w:p>
        </w:tc>
        <w:tc>
          <w:tcPr>
            <w:tcW w:w="850" w:type="dxa"/>
            <w:tcBorders>
              <w:top w:val="nil"/>
              <w:left w:val="nil"/>
              <w:bottom w:val="single" w:sz="4" w:space="0" w:color="auto"/>
              <w:right w:val="single" w:sz="4" w:space="0" w:color="auto"/>
            </w:tcBorders>
            <w:shd w:val="clear" w:color="auto" w:fill="auto"/>
            <w:noWrap/>
            <w:vAlign w:val="center"/>
            <w:hideMark/>
          </w:tcPr>
          <w:p w14:paraId="7C6D6644"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69.855</w:t>
            </w:r>
          </w:p>
        </w:tc>
        <w:tc>
          <w:tcPr>
            <w:tcW w:w="709" w:type="dxa"/>
            <w:tcBorders>
              <w:top w:val="nil"/>
              <w:left w:val="nil"/>
              <w:bottom w:val="single" w:sz="4" w:space="0" w:color="auto"/>
              <w:right w:val="single" w:sz="4" w:space="0" w:color="auto"/>
            </w:tcBorders>
            <w:shd w:val="clear" w:color="auto" w:fill="auto"/>
            <w:noWrap/>
            <w:vAlign w:val="center"/>
            <w:hideMark/>
          </w:tcPr>
          <w:p w14:paraId="0BF92BCD"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14</w:t>
            </w:r>
          </w:p>
        </w:tc>
        <w:tc>
          <w:tcPr>
            <w:tcW w:w="709" w:type="dxa"/>
            <w:tcBorders>
              <w:top w:val="nil"/>
              <w:left w:val="nil"/>
              <w:bottom w:val="single" w:sz="4" w:space="0" w:color="auto"/>
              <w:right w:val="single" w:sz="4" w:space="0" w:color="auto"/>
            </w:tcBorders>
            <w:shd w:val="clear" w:color="auto" w:fill="auto"/>
            <w:noWrap/>
            <w:vAlign w:val="center"/>
            <w:hideMark/>
          </w:tcPr>
          <w:p w14:paraId="71121CEE"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14</w:t>
            </w:r>
          </w:p>
        </w:tc>
        <w:tc>
          <w:tcPr>
            <w:tcW w:w="757" w:type="dxa"/>
            <w:tcBorders>
              <w:top w:val="nil"/>
              <w:left w:val="nil"/>
              <w:bottom w:val="single" w:sz="4" w:space="0" w:color="auto"/>
              <w:right w:val="single" w:sz="4" w:space="0" w:color="auto"/>
            </w:tcBorders>
            <w:shd w:val="clear" w:color="auto" w:fill="auto"/>
            <w:noWrap/>
            <w:vAlign w:val="center"/>
            <w:hideMark/>
          </w:tcPr>
          <w:p w14:paraId="5EECBEE9"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19</w:t>
            </w:r>
          </w:p>
        </w:tc>
        <w:tc>
          <w:tcPr>
            <w:tcW w:w="611" w:type="dxa"/>
            <w:tcBorders>
              <w:top w:val="nil"/>
              <w:left w:val="nil"/>
              <w:bottom w:val="single" w:sz="4" w:space="0" w:color="auto"/>
              <w:right w:val="single" w:sz="4" w:space="0" w:color="auto"/>
            </w:tcBorders>
            <w:shd w:val="clear" w:color="auto" w:fill="auto"/>
            <w:noWrap/>
            <w:vAlign w:val="center"/>
            <w:hideMark/>
          </w:tcPr>
          <w:p w14:paraId="3B64D294"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18</w:t>
            </w:r>
          </w:p>
        </w:tc>
        <w:tc>
          <w:tcPr>
            <w:tcW w:w="611" w:type="dxa"/>
            <w:tcBorders>
              <w:top w:val="nil"/>
              <w:left w:val="nil"/>
              <w:bottom w:val="single" w:sz="4" w:space="0" w:color="auto"/>
              <w:right w:val="single" w:sz="4" w:space="0" w:color="auto"/>
            </w:tcBorders>
            <w:shd w:val="clear" w:color="auto" w:fill="auto"/>
            <w:noWrap/>
            <w:vAlign w:val="center"/>
            <w:hideMark/>
          </w:tcPr>
          <w:p w14:paraId="25EF3AC1"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25</w:t>
            </w:r>
          </w:p>
        </w:tc>
      </w:tr>
      <w:tr w:rsidR="00772287" w:rsidRPr="002340FA" w14:paraId="2167A73F" w14:textId="77777777" w:rsidTr="00D0295E">
        <w:trPr>
          <w:trHeight w:val="255"/>
        </w:trPr>
        <w:tc>
          <w:tcPr>
            <w:tcW w:w="1416" w:type="dxa"/>
            <w:tcBorders>
              <w:top w:val="nil"/>
              <w:left w:val="single" w:sz="8" w:space="0" w:color="auto"/>
              <w:bottom w:val="single" w:sz="4" w:space="0" w:color="auto"/>
              <w:right w:val="single" w:sz="4" w:space="0" w:color="auto"/>
            </w:tcBorders>
            <w:shd w:val="clear" w:color="auto" w:fill="auto"/>
            <w:noWrap/>
            <w:vAlign w:val="center"/>
            <w:hideMark/>
          </w:tcPr>
          <w:p w14:paraId="55BBE5EB" w14:textId="77777777" w:rsidR="00772287" w:rsidRPr="002340FA" w:rsidRDefault="00772287" w:rsidP="00D0295E">
            <w:pPr>
              <w:spacing w:after="0" w:line="280" w:lineRule="exact"/>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Macaristan</w:t>
            </w:r>
          </w:p>
        </w:tc>
        <w:tc>
          <w:tcPr>
            <w:tcW w:w="842" w:type="dxa"/>
            <w:tcBorders>
              <w:top w:val="nil"/>
              <w:left w:val="nil"/>
              <w:bottom w:val="single" w:sz="4" w:space="0" w:color="auto"/>
              <w:right w:val="single" w:sz="4" w:space="0" w:color="auto"/>
            </w:tcBorders>
            <w:shd w:val="clear" w:color="auto" w:fill="auto"/>
            <w:noWrap/>
            <w:vAlign w:val="center"/>
            <w:hideMark/>
          </w:tcPr>
          <w:p w14:paraId="24705DC9"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0</w:t>
            </w:r>
          </w:p>
        </w:tc>
        <w:tc>
          <w:tcPr>
            <w:tcW w:w="851" w:type="dxa"/>
            <w:tcBorders>
              <w:top w:val="nil"/>
              <w:left w:val="nil"/>
              <w:bottom w:val="single" w:sz="4" w:space="0" w:color="auto"/>
              <w:right w:val="single" w:sz="4" w:space="0" w:color="auto"/>
            </w:tcBorders>
            <w:shd w:val="clear" w:color="auto" w:fill="auto"/>
            <w:noWrap/>
            <w:vAlign w:val="center"/>
            <w:hideMark/>
          </w:tcPr>
          <w:p w14:paraId="05CAB3B3"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4.115</w:t>
            </w:r>
          </w:p>
        </w:tc>
        <w:tc>
          <w:tcPr>
            <w:tcW w:w="850" w:type="dxa"/>
            <w:tcBorders>
              <w:top w:val="nil"/>
              <w:left w:val="nil"/>
              <w:bottom w:val="single" w:sz="4" w:space="0" w:color="auto"/>
              <w:right w:val="single" w:sz="4" w:space="0" w:color="auto"/>
            </w:tcBorders>
            <w:shd w:val="clear" w:color="auto" w:fill="auto"/>
            <w:noWrap/>
            <w:vAlign w:val="center"/>
            <w:hideMark/>
          </w:tcPr>
          <w:p w14:paraId="4C5C9F09"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4.022</w:t>
            </w:r>
          </w:p>
        </w:tc>
        <w:tc>
          <w:tcPr>
            <w:tcW w:w="851" w:type="dxa"/>
            <w:tcBorders>
              <w:top w:val="nil"/>
              <w:left w:val="nil"/>
              <w:bottom w:val="single" w:sz="4" w:space="0" w:color="auto"/>
              <w:right w:val="single" w:sz="4" w:space="0" w:color="auto"/>
            </w:tcBorders>
            <w:shd w:val="clear" w:color="auto" w:fill="auto"/>
            <w:noWrap/>
            <w:vAlign w:val="center"/>
            <w:hideMark/>
          </w:tcPr>
          <w:p w14:paraId="184E0147"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5.445</w:t>
            </w:r>
          </w:p>
        </w:tc>
        <w:tc>
          <w:tcPr>
            <w:tcW w:w="850" w:type="dxa"/>
            <w:tcBorders>
              <w:top w:val="nil"/>
              <w:left w:val="nil"/>
              <w:bottom w:val="single" w:sz="4" w:space="0" w:color="auto"/>
              <w:right w:val="single" w:sz="4" w:space="0" w:color="auto"/>
            </w:tcBorders>
            <w:shd w:val="clear" w:color="auto" w:fill="auto"/>
            <w:noWrap/>
            <w:vAlign w:val="center"/>
            <w:hideMark/>
          </w:tcPr>
          <w:p w14:paraId="0393AE94"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27.417</w:t>
            </w:r>
          </w:p>
        </w:tc>
        <w:tc>
          <w:tcPr>
            <w:tcW w:w="709" w:type="dxa"/>
            <w:tcBorders>
              <w:top w:val="nil"/>
              <w:left w:val="nil"/>
              <w:bottom w:val="single" w:sz="4" w:space="0" w:color="auto"/>
              <w:right w:val="single" w:sz="4" w:space="0" w:color="auto"/>
            </w:tcBorders>
            <w:shd w:val="clear" w:color="auto" w:fill="auto"/>
            <w:noWrap/>
            <w:vAlign w:val="center"/>
            <w:hideMark/>
          </w:tcPr>
          <w:p w14:paraId="539D1691"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0</w:t>
            </w:r>
          </w:p>
        </w:tc>
        <w:tc>
          <w:tcPr>
            <w:tcW w:w="709" w:type="dxa"/>
            <w:tcBorders>
              <w:top w:val="nil"/>
              <w:left w:val="nil"/>
              <w:bottom w:val="single" w:sz="4" w:space="0" w:color="auto"/>
              <w:right w:val="single" w:sz="4" w:space="0" w:color="auto"/>
            </w:tcBorders>
            <w:shd w:val="clear" w:color="auto" w:fill="auto"/>
            <w:noWrap/>
            <w:vAlign w:val="center"/>
            <w:hideMark/>
          </w:tcPr>
          <w:p w14:paraId="4C77985C"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2</w:t>
            </w:r>
          </w:p>
        </w:tc>
        <w:tc>
          <w:tcPr>
            <w:tcW w:w="757" w:type="dxa"/>
            <w:tcBorders>
              <w:top w:val="nil"/>
              <w:left w:val="nil"/>
              <w:bottom w:val="single" w:sz="4" w:space="0" w:color="auto"/>
              <w:right w:val="single" w:sz="4" w:space="0" w:color="auto"/>
            </w:tcBorders>
            <w:shd w:val="clear" w:color="auto" w:fill="auto"/>
            <w:noWrap/>
            <w:vAlign w:val="center"/>
            <w:hideMark/>
          </w:tcPr>
          <w:p w14:paraId="231CD98A"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2</w:t>
            </w:r>
          </w:p>
        </w:tc>
        <w:tc>
          <w:tcPr>
            <w:tcW w:w="611" w:type="dxa"/>
            <w:tcBorders>
              <w:top w:val="nil"/>
              <w:left w:val="nil"/>
              <w:bottom w:val="single" w:sz="4" w:space="0" w:color="auto"/>
              <w:right w:val="single" w:sz="4" w:space="0" w:color="auto"/>
            </w:tcBorders>
            <w:shd w:val="clear" w:color="auto" w:fill="auto"/>
            <w:noWrap/>
            <w:vAlign w:val="center"/>
            <w:hideMark/>
          </w:tcPr>
          <w:p w14:paraId="24D24DFD"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4</w:t>
            </w:r>
          </w:p>
        </w:tc>
        <w:tc>
          <w:tcPr>
            <w:tcW w:w="611" w:type="dxa"/>
            <w:tcBorders>
              <w:top w:val="nil"/>
              <w:left w:val="nil"/>
              <w:bottom w:val="single" w:sz="4" w:space="0" w:color="auto"/>
              <w:right w:val="single" w:sz="4" w:space="0" w:color="auto"/>
            </w:tcBorders>
            <w:shd w:val="clear" w:color="auto" w:fill="auto"/>
            <w:noWrap/>
            <w:vAlign w:val="center"/>
            <w:hideMark/>
          </w:tcPr>
          <w:p w14:paraId="3306A7FF"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11</w:t>
            </w:r>
          </w:p>
        </w:tc>
      </w:tr>
      <w:tr w:rsidR="00772287" w:rsidRPr="002340FA" w14:paraId="5DC6B5F4" w14:textId="77777777" w:rsidTr="00D0295E">
        <w:trPr>
          <w:trHeight w:val="255"/>
        </w:trPr>
        <w:tc>
          <w:tcPr>
            <w:tcW w:w="1416" w:type="dxa"/>
            <w:tcBorders>
              <w:top w:val="nil"/>
              <w:left w:val="single" w:sz="8" w:space="0" w:color="auto"/>
              <w:bottom w:val="single" w:sz="4" w:space="0" w:color="auto"/>
              <w:right w:val="single" w:sz="4" w:space="0" w:color="auto"/>
            </w:tcBorders>
            <w:shd w:val="clear" w:color="auto" w:fill="auto"/>
            <w:noWrap/>
            <w:vAlign w:val="center"/>
            <w:hideMark/>
          </w:tcPr>
          <w:p w14:paraId="2087EBEA" w14:textId="77777777" w:rsidR="00772287" w:rsidRPr="002340FA" w:rsidRDefault="00772287" w:rsidP="00D0295E">
            <w:pPr>
              <w:spacing w:after="0" w:line="280" w:lineRule="exact"/>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Polonya</w:t>
            </w:r>
          </w:p>
        </w:tc>
        <w:tc>
          <w:tcPr>
            <w:tcW w:w="842" w:type="dxa"/>
            <w:tcBorders>
              <w:top w:val="nil"/>
              <w:left w:val="nil"/>
              <w:bottom w:val="single" w:sz="4" w:space="0" w:color="auto"/>
              <w:right w:val="single" w:sz="4" w:space="0" w:color="auto"/>
            </w:tcBorders>
            <w:shd w:val="clear" w:color="auto" w:fill="auto"/>
            <w:noWrap/>
            <w:vAlign w:val="center"/>
            <w:hideMark/>
          </w:tcPr>
          <w:p w14:paraId="19722330"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5.895</w:t>
            </w:r>
          </w:p>
        </w:tc>
        <w:tc>
          <w:tcPr>
            <w:tcW w:w="851" w:type="dxa"/>
            <w:tcBorders>
              <w:top w:val="nil"/>
              <w:left w:val="nil"/>
              <w:bottom w:val="single" w:sz="4" w:space="0" w:color="auto"/>
              <w:right w:val="single" w:sz="4" w:space="0" w:color="auto"/>
            </w:tcBorders>
            <w:shd w:val="clear" w:color="auto" w:fill="auto"/>
            <w:noWrap/>
            <w:vAlign w:val="center"/>
            <w:hideMark/>
          </w:tcPr>
          <w:p w14:paraId="4ABC9E3C"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9.266</w:t>
            </w:r>
          </w:p>
        </w:tc>
        <w:tc>
          <w:tcPr>
            <w:tcW w:w="850" w:type="dxa"/>
            <w:tcBorders>
              <w:top w:val="nil"/>
              <w:left w:val="nil"/>
              <w:bottom w:val="single" w:sz="4" w:space="0" w:color="auto"/>
              <w:right w:val="single" w:sz="4" w:space="0" w:color="auto"/>
            </w:tcBorders>
            <w:shd w:val="clear" w:color="auto" w:fill="auto"/>
            <w:noWrap/>
            <w:vAlign w:val="center"/>
            <w:hideMark/>
          </w:tcPr>
          <w:p w14:paraId="410F4DAC"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13.155</w:t>
            </w:r>
          </w:p>
        </w:tc>
        <w:tc>
          <w:tcPr>
            <w:tcW w:w="851" w:type="dxa"/>
            <w:tcBorders>
              <w:top w:val="nil"/>
              <w:left w:val="nil"/>
              <w:bottom w:val="single" w:sz="4" w:space="0" w:color="auto"/>
              <w:right w:val="single" w:sz="4" w:space="0" w:color="auto"/>
            </w:tcBorders>
            <w:shd w:val="clear" w:color="auto" w:fill="auto"/>
            <w:noWrap/>
            <w:vAlign w:val="center"/>
            <w:hideMark/>
          </w:tcPr>
          <w:p w14:paraId="03238C37"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20.593</w:t>
            </w:r>
          </w:p>
        </w:tc>
        <w:tc>
          <w:tcPr>
            <w:tcW w:w="850" w:type="dxa"/>
            <w:tcBorders>
              <w:top w:val="nil"/>
              <w:left w:val="nil"/>
              <w:bottom w:val="single" w:sz="4" w:space="0" w:color="auto"/>
              <w:right w:val="single" w:sz="4" w:space="0" w:color="auto"/>
            </w:tcBorders>
            <w:shd w:val="clear" w:color="auto" w:fill="auto"/>
            <w:noWrap/>
            <w:vAlign w:val="center"/>
            <w:hideMark/>
          </w:tcPr>
          <w:p w14:paraId="05C6CD76"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24.737</w:t>
            </w:r>
          </w:p>
        </w:tc>
        <w:tc>
          <w:tcPr>
            <w:tcW w:w="709" w:type="dxa"/>
            <w:tcBorders>
              <w:top w:val="nil"/>
              <w:left w:val="nil"/>
              <w:bottom w:val="single" w:sz="4" w:space="0" w:color="auto"/>
              <w:right w:val="single" w:sz="4" w:space="0" w:color="auto"/>
            </w:tcBorders>
            <w:shd w:val="clear" w:color="auto" w:fill="auto"/>
            <w:noWrap/>
            <w:vAlign w:val="center"/>
            <w:hideMark/>
          </w:tcPr>
          <w:p w14:paraId="36C4D32E"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3</w:t>
            </w:r>
          </w:p>
        </w:tc>
        <w:tc>
          <w:tcPr>
            <w:tcW w:w="709" w:type="dxa"/>
            <w:tcBorders>
              <w:top w:val="nil"/>
              <w:left w:val="nil"/>
              <w:bottom w:val="single" w:sz="4" w:space="0" w:color="auto"/>
              <w:right w:val="single" w:sz="4" w:space="0" w:color="auto"/>
            </w:tcBorders>
            <w:shd w:val="clear" w:color="auto" w:fill="auto"/>
            <w:noWrap/>
            <w:vAlign w:val="center"/>
            <w:hideMark/>
          </w:tcPr>
          <w:p w14:paraId="37E655BB"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4</w:t>
            </w:r>
          </w:p>
        </w:tc>
        <w:tc>
          <w:tcPr>
            <w:tcW w:w="757" w:type="dxa"/>
            <w:tcBorders>
              <w:top w:val="nil"/>
              <w:left w:val="nil"/>
              <w:bottom w:val="single" w:sz="4" w:space="0" w:color="auto"/>
              <w:right w:val="single" w:sz="4" w:space="0" w:color="auto"/>
            </w:tcBorders>
            <w:shd w:val="clear" w:color="auto" w:fill="auto"/>
            <w:noWrap/>
            <w:vAlign w:val="center"/>
            <w:hideMark/>
          </w:tcPr>
          <w:p w14:paraId="1A73C32C"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9</w:t>
            </w:r>
          </w:p>
        </w:tc>
        <w:tc>
          <w:tcPr>
            <w:tcW w:w="611" w:type="dxa"/>
            <w:tcBorders>
              <w:top w:val="nil"/>
              <w:left w:val="nil"/>
              <w:bottom w:val="single" w:sz="4" w:space="0" w:color="auto"/>
              <w:right w:val="single" w:sz="4" w:space="0" w:color="auto"/>
            </w:tcBorders>
            <w:shd w:val="clear" w:color="auto" w:fill="auto"/>
            <w:noWrap/>
            <w:vAlign w:val="center"/>
            <w:hideMark/>
          </w:tcPr>
          <w:p w14:paraId="66133976"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18</w:t>
            </w:r>
          </w:p>
        </w:tc>
        <w:tc>
          <w:tcPr>
            <w:tcW w:w="611" w:type="dxa"/>
            <w:tcBorders>
              <w:top w:val="nil"/>
              <w:left w:val="nil"/>
              <w:bottom w:val="single" w:sz="4" w:space="0" w:color="auto"/>
              <w:right w:val="single" w:sz="4" w:space="0" w:color="auto"/>
            </w:tcBorders>
            <w:shd w:val="clear" w:color="auto" w:fill="auto"/>
            <w:noWrap/>
            <w:vAlign w:val="center"/>
            <w:hideMark/>
          </w:tcPr>
          <w:p w14:paraId="0A9052D7"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13</w:t>
            </w:r>
          </w:p>
        </w:tc>
      </w:tr>
      <w:tr w:rsidR="00772287" w:rsidRPr="002340FA" w14:paraId="5EC2A213" w14:textId="77777777" w:rsidTr="00D0295E">
        <w:trPr>
          <w:trHeight w:val="255"/>
        </w:trPr>
        <w:tc>
          <w:tcPr>
            <w:tcW w:w="1416" w:type="dxa"/>
            <w:tcBorders>
              <w:top w:val="nil"/>
              <w:left w:val="single" w:sz="8" w:space="0" w:color="auto"/>
              <w:bottom w:val="single" w:sz="4" w:space="0" w:color="auto"/>
              <w:right w:val="single" w:sz="4" w:space="0" w:color="auto"/>
            </w:tcBorders>
            <w:shd w:val="clear" w:color="auto" w:fill="auto"/>
            <w:noWrap/>
            <w:vAlign w:val="center"/>
            <w:hideMark/>
          </w:tcPr>
          <w:p w14:paraId="2B3F4628" w14:textId="77777777" w:rsidR="00772287" w:rsidRPr="002340FA" w:rsidRDefault="00772287" w:rsidP="00D0295E">
            <w:pPr>
              <w:spacing w:after="0" w:line="280" w:lineRule="exact"/>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İspanya</w:t>
            </w:r>
          </w:p>
        </w:tc>
        <w:tc>
          <w:tcPr>
            <w:tcW w:w="842" w:type="dxa"/>
            <w:tcBorders>
              <w:top w:val="nil"/>
              <w:left w:val="nil"/>
              <w:bottom w:val="single" w:sz="4" w:space="0" w:color="auto"/>
              <w:right w:val="single" w:sz="4" w:space="0" w:color="auto"/>
            </w:tcBorders>
            <w:shd w:val="clear" w:color="auto" w:fill="auto"/>
            <w:noWrap/>
            <w:vAlign w:val="center"/>
            <w:hideMark/>
          </w:tcPr>
          <w:p w14:paraId="35733151"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7.502</w:t>
            </w:r>
          </w:p>
        </w:tc>
        <w:tc>
          <w:tcPr>
            <w:tcW w:w="851" w:type="dxa"/>
            <w:tcBorders>
              <w:top w:val="nil"/>
              <w:left w:val="nil"/>
              <w:bottom w:val="single" w:sz="4" w:space="0" w:color="auto"/>
              <w:right w:val="single" w:sz="4" w:space="0" w:color="auto"/>
            </w:tcBorders>
            <w:shd w:val="clear" w:color="auto" w:fill="auto"/>
            <w:noWrap/>
            <w:vAlign w:val="center"/>
            <w:hideMark/>
          </w:tcPr>
          <w:p w14:paraId="1F37C087"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6.170</w:t>
            </w:r>
          </w:p>
        </w:tc>
        <w:tc>
          <w:tcPr>
            <w:tcW w:w="850" w:type="dxa"/>
            <w:tcBorders>
              <w:top w:val="nil"/>
              <w:left w:val="nil"/>
              <w:bottom w:val="single" w:sz="4" w:space="0" w:color="auto"/>
              <w:right w:val="single" w:sz="4" w:space="0" w:color="auto"/>
            </w:tcBorders>
            <w:shd w:val="clear" w:color="auto" w:fill="auto"/>
            <w:noWrap/>
            <w:vAlign w:val="center"/>
            <w:hideMark/>
          </w:tcPr>
          <w:p w14:paraId="38E1B530"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7.278</w:t>
            </w:r>
          </w:p>
        </w:tc>
        <w:tc>
          <w:tcPr>
            <w:tcW w:w="851" w:type="dxa"/>
            <w:tcBorders>
              <w:top w:val="nil"/>
              <w:left w:val="nil"/>
              <w:bottom w:val="single" w:sz="4" w:space="0" w:color="auto"/>
              <w:right w:val="single" w:sz="4" w:space="0" w:color="auto"/>
            </w:tcBorders>
            <w:shd w:val="clear" w:color="auto" w:fill="auto"/>
            <w:noWrap/>
            <w:vAlign w:val="center"/>
            <w:hideMark/>
          </w:tcPr>
          <w:p w14:paraId="45F0CA7A"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8.733</w:t>
            </w:r>
          </w:p>
        </w:tc>
        <w:tc>
          <w:tcPr>
            <w:tcW w:w="850" w:type="dxa"/>
            <w:tcBorders>
              <w:top w:val="nil"/>
              <w:left w:val="nil"/>
              <w:bottom w:val="single" w:sz="4" w:space="0" w:color="auto"/>
              <w:right w:val="single" w:sz="4" w:space="0" w:color="auto"/>
            </w:tcBorders>
            <w:shd w:val="clear" w:color="auto" w:fill="auto"/>
            <w:noWrap/>
            <w:vAlign w:val="center"/>
            <w:hideMark/>
          </w:tcPr>
          <w:p w14:paraId="41949492"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24.273</w:t>
            </w:r>
          </w:p>
        </w:tc>
        <w:tc>
          <w:tcPr>
            <w:tcW w:w="709" w:type="dxa"/>
            <w:tcBorders>
              <w:top w:val="nil"/>
              <w:left w:val="nil"/>
              <w:bottom w:val="single" w:sz="4" w:space="0" w:color="auto"/>
              <w:right w:val="single" w:sz="4" w:space="0" w:color="auto"/>
            </w:tcBorders>
            <w:shd w:val="clear" w:color="auto" w:fill="auto"/>
            <w:noWrap/>
            <w:vAlign w:val="center"/>
            <w:hideMark/>
          </w:tcPr>
          <w:p w14:paraId="7C146E3E"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3</w:t>
            </w:r>
          </w:p>
        </w:tc>
        <w:tc>
          <w:tcPr>
            <w:tcW w:w="709" w:type="dxa"/>
            <w:tcBorders>
              <w:top w:val="nil"/>
              <w:left w:val="nil"/>
              <w:bottom w:val="single" w:sz="4" w:space="0" w:color="auto"/>
              <w:right w:val="single" w:sz="4" w:space="0" w:color="auto"/>
            </w:tcBorders>
            <w:shd w:val="clear" w:color="auto" w:fill="auto"/>
            <w:noWrap/>
            <w:vAlign w:val="center"/>
            <w:hideMark/>
          </w:tcPr>
          <w:p w14:paraId="36D62C1F"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2</w:t>
            </w:r>
          </w:p>
        </w:tc>
        <w:tc>
          <w:tcPr>
            <w:tcW w:w="757" w:type="dxa"/>
            <w:tcBorders>
              <w:top w:val="nil"/>
              <w:left w:val="nil"/>
              <w:bottom w:val="single" w:sz="4" w:space="0" w:color="auto"/>
              <w:right w:val="single" w:sz="4" w:space="0" w:color="auto"/>
            </w:tcBorders>
            <w:shd w:val="clear" w:color="auto" w:fill="auto"/>
            <w:noWrap/>
            <w:vAlign w:val="center"/>
            <w:hideMark/>
          </w:tcPr>
          <w:p w14:paraId="516774CE"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4</w:t>
            </w:r>
          </w:p>
        </w:tc>
        <w:tc>
          <w:tcPr>
            <w:tcW w:w="611" w:type="dxa"/>
            <w:tcBorders>
              <w:top w:val="nil"/>
              <w:left w:val="nil"/>
              <w:bottom w:val="single" w:sz="4" w:space="0" w:color="auto"/>
              <w:right w:val="single" w:sz="4" w:space="0" w:color="auto"/>
            </w:tcBorders>
            <w:shd w:val="clear" w:color="auto" w:fill="auto"/>
            <w:noWrap/>
            <w:vAlign w:val="center"/>
            <w:hideMark/>
          </w:tcPr>
          <w:p w14:paraId="08F8F0FC"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5</w:t>
            </w:r>
          </w:p>
        </w:tc>
        <w:tc>
          <w:tcPr>
            <w:tcW w:w="611" w:type="dxa"/>
            <w:tcBorders>
              <w:top w:val="nil"/>
              <w:left w:val="nil"/>
              <w:bottom w:val="single" w:sz="4" w:space="0" w:color="auto"/>
              <w:right w:val="single" w:sz="4" w:space="0" w:color="auto"/>
            </w:tcBorders>
            <w:shd w:val="clear" w:color="auto" w:fill="auto"/>
            <w:noWrap/>
            <w:vAlign w:val="center"/>
            <w:hideMark/>
          </w:tcPr>
          <w:p w14:paraId="5141A779"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10</w:t>
            </w:r>
          </w:p>
        </w:tc>
      </w:tr>
      <w:tr w:rsidR="00772287" w:rsidRPr="002340FA" w14:paraId="4C8C3F73" w14:textId="77777777" w:rsidTr="00D0295E">
        <w:trPr>
          <w:trHeight w:val="255"/>
        </w:trPr>
        <w:tc>
          <w:tcPr>
            <w:tcW w:w="1416" w:type="dxa"/>
            <w:tcBorders>
              <w:top w:val="nil"/>
              <w:left w:val="single" w:sz="8" w:space="0" w:color="auto"/>
              <w:bottom w:val="single" w:sz="4" w:space="0" w:color="auto"/>
              <w:right w:val="single" w:sz="4" w:space="0" w:color="auto"/>
            </w:tcBorders>
            <w:shd w:val="clear" w:color="auto" w:fill="auto"/>
            <w:noWrap/>
            <w:vAlign w:val="center"/>
            <w:hideMark/>
          </w:tcPr>
          <w:p w14:paraId="6BD099ED" w14:textId="77777777" w:rsidR="00772287" w:rsidRPr="002340FA" w:rsidRDefault="00772287" w:rsidP="00D0295E">
            <w:pPr>
              <w:spacing w:after="0" w:line="280" w:lineRule="exact"/>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Slovakya</w:t>
            </w:r>
          </w:p>
        </w:tc>
        <w:tc>
          <w:tcPr>
            <w:tcW w:w="842" w:type="dxa"/>
            <w:tcBorders>
              <w:top w:val="nil"/>
              <w:left w:val="nil"/>
              <w:bottom w:val="single" w:sz="4" w:space="0" w:color="auto"/>
              <w:right w:val="single" w:sz="4" w:space="0" w:color="auto"/>
            </w:tcBorders>
            <w:shd w:val="clear" w:color="auto" w:fill="auto"/>
            <w:noWrap/>
            <w:vAlign w:val="center"/>
            <w:hideMark/>
          </w:tcPr>
          <w:p w14:paraId="3CAE0FEF"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0</w:t>
            </w:r>
          </w:p>
        </w:tc>
        <w:tc>
          <w:tcPr>
            <w:tcW w:w="851" w:type="dxa"/>
            <w:tcBorders>
              <w:top w:val="nil"/>
              <w:left w:val="nil"/>
              <w:bottom w:val="single" w:sz="4" w:space="0" w:color="auto"/>
              <w:right w:val="single" w:sz="4" w:space="0" w:color="auto"/>
            </w:tcBorders>
            <w:shd w:val="clear" w:color="auto" w:fill="auto"/>
            <w:noWrap/>
            <w:vAlign w:val="center"/>
            <w:hideMark/>
          </w:tcPr>
          <w:p w14:paraId="7CA620F5"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0</w:t>
            </w:r>
          </w:p>
        </w:tc>
        <w:tc>
          <w:tcPr>
            <w:tcW w:w="850" w:type="dxa"/>
            <w:tcBorders>
              <w:top w:val="nil"/>
              <w:left w:val="nil"/>
              <w:bottom w:val="single" w:sz="4" w:space="0" w:color="auto"/>
              <w:right w:val="single" w:sz="4" w:space="0" w:color="auto"/>
            </w:tcBorders>
            <w:shd w:val="clear" w:color="auto" w:fill="auto"/>
            <w:noWrap/>
            <w:vAlign w:val="center"/>
            <w:hideMark/>
          </w:tcPr>
          <w:p w14:paraId="0C4B4EBE"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7.251</w:t>
            </w:r>
          </w:p>
        </w:tc>
        <w:tc>
          <w:tcPr>
            <w:tcW w:w="851" w:type="dxa"/>
            <w:tcBorders>
              <w:top w:val="nil"/>
              <w:left w:val="nil"/>
              <w:bottom w:val="single" w:sz="4" w:space="0" w:color="auto"/>
              <w:right w:val="single" w:sz="4" w:space="0" w:color="auto"/>
            </w:tcBorders>
            <w:shd w:val="clear" w:color="auto" w:fill="auto"/>
            <w:noWrap/>
            <w:vAlign w:val="center"/>
            <w:hideMark/>
          </w:tcPr>
          <w:p w14:paraId="40188CB1"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12.067</w:t>
            </w:r>
          </w:p>
        </w:tc>
        <w:tc>
          <w:tcPr>
            <w:tcW w:w="850" w:type="dxa"/>
            <w:tcBorders>
              <w:top w:val="nil"/>
              <w:left w:val="nil"/>
              <w:bottom w:val="single" w:sz="4" w:space="0" w:color="auto"/>
              <w:right w:val="single" w:sz="4" w:space="0" w:color="auto"/>
            </w:tcBorders>
            <w:shd w:val="clear" w:color="auto" w:fill="auto"/>
            <w:noWrap/>
            <w:vAlign w:val="center"/>
            <w:hideMark/>
          </w:tcPr>
          <w:p w14:paraId="08DA2896"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14.599</w:t>
            </w:r>
          </w:p>
        </w:tc>
        <w:tc>
          <w:tcPr>
            <w:tcW w:w="709" w:type="dxa"/>
            <w:tcBorders>
              <w:top w:val="nil"/>
              <w:left w:val="nil"/>
              <w:bottom w:val="single" w:sz="4" w:space="0" w:color="auto"/>
              <w:right w:val="single" w:sz="4" w:space="0" w:color="auto"/>
            </w:tcBorders>
            <w:shd w:val="clear" w:color="auto" w:fill="auto"/>
            <w:noWrap/>
            <w:vAlign w:val="center"/>
            <w:hideMark/>
          </w:tcPr>
          <w:p w14:paraId="3453C481"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0</w:t>
            </w:r>
          </w:p>
        </w:tc>
        <w:tc>
          <w:tcPr>
            <w:tcW w:w="709" w:type="dxa"/>
            <w:tcBorders>
              <w:top w:val="nil"/>
              <w:left w:val="nil"/>
              <w:bottom w:val="single" w:sz="4" w:space="0" w:color="auto"/>
              <w:right w:val="single" w:sz="4" w:space="0" w:color="auto"/>
            </w:tcBorders>
            <w:shd w:val="clear" w:color="auto" w:fill="auto"/>
            <w:noWrap/>
            <w:vAlign w:val="center"/>
            <w:hideMark/>
          </w:tcPr>
          <w:p w14:paraId="0CA663AE"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0</w:t>
            </w:r>
          </w:p>
        </w:tc>
        <w:tc>
          <w:tcPr>
            <w:tcW w:w="757" w:type="dxa"/>
            <w:tcBorders>
              <w:top w:val="nil"/>
              <w:left w:val="nil"/>
              <w:bottom w:val="single" w:sz="4" w:space="0" w:color="auto"/>
              <w:right w:val="single" w:sz="4" w:space="0" w:color="auto"/>
            </w:tcBorders>
            <w:shd w:val="clear" w:color="auto" w:fill="auto"/>
            <w:noWrap/>
            <w:vAlign w:val="center"/>
            <w:hideMark/>
          </w:tcPr>
          <w:p w14:paraId="664AC361"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6</w:t>
            </w:r>
          </w:p>
        </w:tc>
        <w:tc>
          <w:tcPr>
            <w:tcW w:w="611" w:type="dxa"/>
            <w:tcBorders>
              <w:top w:val="nil"/>
              <w:left w:val="nil"/>
              <w:bottom w:val="single" w:sz="4" w:space="0" w:color="auto"/>
              <w:right w:val="single" w:sz="4" w:space="0" w:color="auto"/>
            </w:tcBorders>
            <w:shd w:val="clear" w:color="auto" w:fill="auto"/>
            <w:noWrap/>
            <w:vAlign w:val="center"/>
            <w:hideMark/>
          </w:tcPr>
          <w:p w14:paraId="5D3650C7"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11</w:t>
            </w:r>
          </w:p>
        </w:tc>
        <w:tc>
          <w:tcPr>
            <w:tcW w:w="611" w:type="dxa"/>
            <w:tcBorders>
              <w:top w:val="nil"/>
              <w:left w:val="nil"/>
              <w:bottom w:val="single" w:sz="4" w:space="0" w:color="auto"/>
              <w:right w:val="single" w:sz="4" w:space="0" w:color="auto"/>
            </w:tcBorders>
            <w:shd w:val="clear" w:color="auto" w:fill="auto"/>
            <w:noWrap/>
            <w:vAlign w:val="center"/>
            <w:hideMark/>
          </w:tcPr>
          <w:p w14:paraId="07C5DBC1"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8</w:t>
            </w:r>
          </w:p>
        </w:tc>
      </w:tr>
      <w:tr w:rsidR="00772287" w:rsidRPr="002340FA" w14:paraId="5062B459" w14:textId="77777777" w:rsidTr="00D0295E">
        <w:trPr>
          <w:trHeight w:val="255"/>
        </w:trPr>
        <w:tc>
          <w:tcPr>
            <w:tcW w:w="1416" w:type="dxa"/>
            <w:tcBorders>
              <w:top w:val="nil"/>
              <w:left w:val="single" w:sz="8" w:space="0" w:color="auto"/>
              <w:bottom w:val="single" w:sz="4" w:space="0" w:color="auto"/>
              <w:right w:val="single" w:sz="4" w:space="0" w:color="auto"/>
            </w:tcBorders>
            <w:shd w:val="clear" w:color="auto" w:fill="auto"/>
            <w:noWrap/>
            <w:vAlign w:val="center"/>
            <w:hideMark/>
          </w:tcPr>
          <w:p w14:paraId="3B6AEB6E" w14:textId="77777777" w:rsidR="00772287" w:rsidRPr="002340FA" w:rsidRDefault="00772287" w:rsidP="00D0295E">
            <w:pPr>
              <w:spacing w:after="0" w:line="280" w:lineRule="exact"/>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İtalya</w:t>
            </w:r>
          </w:p>
        </w:tc>
        <w:tc>
          <w:tcPr>
            <w:tcW w:w="842" w:type="dxa"/>
            <w:tcBorders>
              <w:top w:val="nil"/>
              <w:left w:val="nil"/>
              <w:bottom w:val="single" w:sz="4" w:space="0" w:color="auto"/>
              <w:right w:val="single" w:sz="4" w:space="0" w:color="auto"/>
            </w:tcBorders>
            <w:shd w:val="clear" w:color="auto" w:fill="auto"/>
            <w:noWrap/>
            <w:vAlign w:val="center"/>
            <w:hideMark/>
          </w:tcPr>
          <w:p w14:paraId="0FD6ADD6"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1.701</w:t>
            </w:r>
          </w:p>
        </w:tc>
        <w:tc>
          <w:tcPr>
            <w:tcW w:w="851" w:type="dxa"/>
            <w:tcBorders>
              <w:top w:val="nil"/>
              <w:left w:val="nil"/>
              <w:bottom w:val="single" w:sz="4" w:space="0" w:color="auto"/>
              <w:right w:val="single" w:sz="4" w:space="0" w:color="auto"/>
            </w:tcBorders>
            <w:shd w:val="clear" w:color="auto" w:fill="auto"/>
            <w:noWrap/>
            <w:vAlign w:val="center"/>
            <w:hideMark/>
          </w:tcPr>
          <w:p w14:paraId="39D79A2C"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2.333</w:t>
            </w:r>
          </w:p>
        </w:tc>
        <w:tc>
          <w:tcPr>
            <w:tcW w:w="850" w:type="dxa"/>
            <w:tcBorders>
              <w:top w:val="nil"/>
              <w:left w:val="nil"/>
              <w:bottom w:val="single" w:sz="4" w:space="0" w:color="auto"/>
              <w:right w:val="single" w:sz="4" w:space="0" w:color="auto"/>
            </w:tcBorders>
            <w:shd w:val="clear" w:color="auto" w:fill="auto"/>
            <w:noWrap/>
            <w:vAlign w:val="center"/>
            <w:hideMark/>
          </w:tcPr>
          <w:p w14:paraId="1F426300"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15.703</w:t>
            </w:r>
          </w:p>
        </w:tc>
        <w:tc>
          <w:tcPr>
            <w:tcW w:w="851" w:type="dxa"/>
            <w:tcBorders>
              <w:top w:val="nil"/>
              <w:left w:val="nil"/>
              <w:bottom w:val="single" w:sz="4" w:space="0" w:color="auto"/>
              <w:right w:val="single" w:sz="4" w:space="0" w:color="auto"/>
            </w:tcBorders>
            <w:shd w:val="clear" w:color="auto" w:fill="auto"/>
            <w:noWrap/>
            <w:vAlign w:val="center"/>
            <w:hideMark/>
          </w:tcPr>
          <w:p w14:paraId="50DCC8BF"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9.562</w:t>
            </w:r>
          </w:p>
        </w:tc>
        <w:tc>
          <w:tcPr>
            <w:tcW w:w="850" w:type="dxa"/>
            <w:tcBorders>
              <w:top w:val="nil"/>
              <w:left w:val="nil"/>
              <w:bottom w:val="single" w:sz="4" w:space="0" w:color="auto"/>
              <w:right w:val="single" w:sz="4" w:space="0" w:color="auto"/>
            </w:tcBorders>
            <w:shd w:val="clear" w:color="auto" w:fill="auto"/>
            <w:noWrap/>
            <w:vAlign w:val="center"/>
            <w:hideMark/>
          </w:tcPr>
          <w:p w14:paraId="410E27BF"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14.206</w:t>
            </w:r>
          </w:p>
        </w:tc>
        <w:tc>
          <w:tcPr>
            <w:tcW w:w="709" w:type="dxa"/>
            <w:tcBorders>
              <w:top w:val="nil"/>
              <w:left w:val="nil"/>
              <w:bottom w:val="single" w:sz="4" w:space="0" w:color="auto"/>
              <w:right w:val="single" w:sz="4" w:space="0" w:color="auto"/>
            </w:tcBorders>
            <w:shd w:val="clear" w:color="auto" w:fill="auto"/>
            <w:noWrap/>
            <w:vAlign w:val="center"/>
            <w:hideMark/>
          </w:tcPr>
          <w:p w14:paraId="5717947D"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w:t>
            </w:r>
          </w:p>
        </w:tc>
        <w:tc>
          <w:tcPr>
            <w:tcW w:w="709" w:type="dxa"/>
            <w:tcBorders>
              <w:top w:val="nil"/>
              <w:left w:val="nil"/>
              <w:bottom w:val="single" w:sz="4" w:space="0" w:color="auto"/>
              <w:right w:val="single" w:sz="4" w:space="0" w:color="auto"/>
            </w:tcBorders>
            <w:shd w:val="clear" w:color="auto" w:fill="auto"/>
            <w:noWrap/>
            <w:vAlign w:val="center"/>
            <w:hideMark/>
          </w:tcPr>
          <w:p w14:paraId="3EA871E7"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w:t>
            </w:r>
          </w:p>
        </w:tc>
        <w:tc>
          <w:tcPr>
            <w:tcW w:w="757" w:type="dxa"/>
            <w:tcBorders>
              <w:top w:val="nil"/>
              <w:left w:val="nil"/>
              <w:bottom w:val="single" w:sz="4" w:space="0" w:color="auto"/>
              <w:right w:val="single" w:sz="4" w:space="0" w:color="auto"/>
            </w:tcBorders>
            <w:shd w:val="clear" w:color="auto" w:fill="auto"/>
            <w:noWrap/>
            <w:vAlign w:val="center"/>
            <w:hideMark/>
          </w:tcPr>
          <w:p w14:paraId="5F26735F"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10</w:t>
            </w:r>
          </w:p>
        </w:tc>
        <w:tc>
          <w:tcPr>
            <w:tcW w:w="611" w:type="dxa"/>
            <w:tcBorders>
              <w:top w:val="nil"/>
              <w:left w:val="nil"/>
              <w:bottom w:val="single" w:sz="4" w:space="0" w:color="auto"/>
              <w:right w:val="single" w:sz="4" w:space="0" w:color="auto"/>
            </w:tcBorders>
            <w:shd w:val="clear" w:color="auto" w:fill="auto"/>
            <w:noWrap/>
            <w:vAlign w:val="center"/>
            <w:hideMark/>
          </w:tcPr>
          <w:p w14:paraId="6124F626"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9</w:t>
            </w:r>
          </w:p>
        </w:tc>
        <w:tc>
          <w:tcPr>
            <w:tcW w:w="611" w:type="dxa"/>
            <w:tcBorders>
              <w:top w:val="nil"/>
              <w:left w:val="nil"/>
              <w:bottom w:val="single" w:sz="4" w:space="0" w:color="auto"/>
              <w:right w:val="single" w:sz="4" w:space="0" w:color="auto"/>
            </w:tcBorders>
            <w:shd w:val="clear" w:color="auto" w:fill="auto"/>
            <w:noWrap/>
            <w:vAlign w:val="center"/>
            <w:hideMark/>
          </w:tcPr>
          <w:p w14:paraId="62040C8F"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6</w:t>
            </w:r>
          </w:p>
        </w:tc>
      </w:tr>
      <w:tr w:rsidR="00772287" w:rsidRPr="002340FA" w14:paraId="410DD9A5" w14:textId="77777777" w:rsidTr="00D0295E">
        <w:trPr>
          <w:trHeight w:val="255"/>
        </w:trPr>
        <w:tc>
          <w:tcPr>
            <w:tcW w:w="1416" w:type="dxa"/>
            <w:tcBorders>
              <w:top w:val="nil"/>
              <w:left w:val="single" w:sz="8" w:space="0" w:color="auto"/>
              <w:bottom w:val="single" w:sz="4" w:space="0" w:color="auto"/>
              <w:right w:val="single" w:sz="4" w:space="0" w:color="auto"/>
            </w:tcBorders>
            <w:shd w:val="clear" w:color="auto" w:fill="auto"/>
            <w:noWrap/>
            <w:vAlign w:val="center"/>
            <w:hideMark/>
          </w:tcPr>
          <w:p w14:paraId="75AD9178" w14:textId="77777777" w:rsidR="00772287" w:rsidRPr="002340FA" w:rsidRDefault="00772287" w:rsidP="00D0295E">
            <w:pPr>
              <w:spacing w:after="0" w:line="280" w:lineRule="exact"/>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Romanya</w:t>
            </w:r>
          </w:p>
        </w:tc>
        <w:tc>
          <w:tcPr>
            <w:tcW w:w="842" w:type="dxa"/>
            <w:tcBorders>
              <w:top w:val="nil"/>
              <w:left w:val="nil"/>
              <w:bottom w:val="single" w:sz="4" w:space="0" w:color="auto"/>
              <w:right w:val="single" w:sz="4" w:space="0" w:color="auto"/>
            </w:tcBorders>
            <w:shd w:val="clear" w:color="auto" w:fill="auto"/>
            <w:noWrap/>
            <w:vAlign w:val="center"/>
            <w:hideMark/>
          </w:tcPr>
          <w:p w14:paraId="1EB2B250"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9.494</w:t>
            </w:r>
          </w:p>
        </w:tc>
        <w:tc>
          <w:tcPr>
            <w:tcW w:w="851" w:type="dxa"/>
            <w:tcBorders>
              <w:top w:val="nil"/>
              <w:left w:val="nil"/>
              <w:bottom w:val="single" w:sz="4" w:space="0" w:color="auto"/>
              <w:right w:val="single" w:sz="4" w:space="0" w:color="auto"/>
            </w:tcBorders>
            <w:shd w:val="clear" w:color="auto" w:fill="auto"/>
            <w:noWrap/>
            <w:vAlign w:val="center"/>
            <w:hideMark/>
          </w:tcPr>
          <w:p w14:paraId="486F7B82"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10.806</w:t>
            </w:r>
          </w:p>
        </w:tc>
        <w:tc>
          <w:tcPr>
            <w:tcW w:w="850" w:type="dxa"/>
            <w:tcBorders>
              <w:top w:val="nil"/>
              <w:left w:val="nil"/>
              <w:bottom w:val="single" w:sz="4" w:space="0" w:color="auto"/>
              <w:right w:val="single" w:sz="4" w:space="0" w:color="auto"/>
            </w:tcBorders>
            <w:shd w:val="clear" w:color="auto" w:fill="auto"/>
            <w:noWrap/>
            <w:vAlign w:val="center"/>
            <w:hideMark/>
          </w:tcPr>
          <w:p w14:paraId="77E1F8E6"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14.708</w:t>
            </w:r>
          </w:p>
        </w:tc>
        <w:tc>
          <w:tcPr>
            <w:tcW w:w="851" w:type="dxa"/>
            <w:tcBorders>
              <w:top w:val="nil"/>
              <w:left w:val="nil"/>
              <w:bottom w:val="single" w:sz="4" w:space="0" w:color="auto"/>
              <w:right w:val="single" w:sz="4" w:space="0" w:color="auto"/>
            </w:tcBorders>
            <w:shd w:val="clear" w:color="auto" w:fill="auto"/>
            <w:noWrap/>
            <w:vAlign w:val="center"/>
            <w:hideMark/>
          </w:tcPr>
          <w:p w14:paraId="3316851E"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5.716</w:t>
            </w:r>
          </w:p>
        </w:tc>
        <w:tc>
          <w:tcPr>
            <w:tcW w:w="850" w:type="dxa"/>
            <w:tcBorders>
              <w:top w:val="nil"/>
              <w:left w:val="nil"/>
              <w:bottom w:val="single" w:sz="4" w:space="0" w:color="auto"/>
              <w:right w:val="single" w:sz="4" w:space="0" w:color="auto"/>
            </w:tcBorders>
            <w:shd w:val="clear" w:color="auto" w:fill="auto"/>
            <w:noWrap/>
            <w:vAlign w:val="center"/>
            <w:hideMark/>
          </w:tcPr>
          <w:p w14:paraId="01FDA997"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7.148</w:t>
            </w:r>
          </w:p>
        </w:tc>
        <w:tc>
          <w:tcPr>
            <w:tcW w:w="709" w:type="dxa"/>
            <w:tcBorders>
              <w:top w:val="nil"/>
              <w:left w:val="nil"/>
              <w:bottom w:val="single" w:sz="4" w:space="0" w:color="auto"/>
              <w:right w:val="single" w:sz="4" w:space="0" w:color="auto"/>
            </w:tcBorders>
            <w:shd w:val="clear" w:color="auto" w:fill="auto"/>
            <w:noWrap/>
            <w:vAlign w:val="center"/>
            <w:hideMark/>
          </w:tcPr>
          <w:p w14:paraId="7B5FC996"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4</w:t>
            </w:r>
          </w:p>
        </w:tc>
        <w:tc>
          <w:tcPr>
            <w:tcW w:w="709" w:type="dxa"/>
            <w:tcBorders>
              <w:top w:val="nil"/>
              <w:left w:val="nil"/>
              <w:bottom w:val="single" w:sz="4" w:space="0" w:color="auto"/>
              <w:right w:val="single" w:sz="4" w:space="0" w:color="auto"/>
            </w:tcBorders>
            <w:shd w:val="clear" w:color="auto" w:fill="auto"/>
            <w:noWrap/>
            <w:vAlign w:val="center"/>
            <w:hideMark/>
          </w:tcPr>
          <w:p w14:paraId="24C5877E"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4</w:t>
            </w:r>
          </w:p>
        </w:tc>
        <w:tc>
          <w:tcPr>
            <w:tcW w:w="757" w:type="dxa"/>
            <w:tcBorders>
              <w:top w:val="nil"/>
              <w:left w:val="nil"/>
              <w:bottom w:val="single" w:sz="4" w:space="0" w:color="auto"/>
              <w:right w:val="single" w:sz="4" w:space="0" w:color="auto"/>
            </w:tcBorders>
            <w:shd w:val="clear" w:color="auto" w:fill="auto"/>
            <w:noWrap/>
            <w:vAlign w:val="center"/>
            <w:hideMark/>
          </w:tcPr>
          <w:p w14:paraId="48EBAAE4"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9</w:t>
            </w:r>
          </w:p>
        </w:tc>
        <w:tc>
          <w:tcPr>
            <w:tcW w:w="611" w:type="dxa"/>
            <w:tcBorders>
              <w:top w:val="nil"/>
              <w:left w:val="nil"/>
              <w:bottom w:val="single" w:sz="4" w:space="0" w:color="auto"/>
              <w:right w:val="single" w:sz="4" w:space="0" w:color="auto"/>
            </w:tcBorders>
            <w:shd w:val="clear" w:color="auto" w:fill="auto"/>
            <w:noWrap/>
            <w:vAlign w:val="center"/>
            <w:hideMark/>
          </w:tcPr>
          <w:p w14:paraId="1407B690"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5</w:t>
            </w:r>
          </w:p>
        </w:tc>
        <w:tc>
          <w:tcPr>
            <w:tcW w:w="611" w:type="dxa"/>
            <w:tcBorders>
              <w:top w:val="nil"/>
              <w:left w:val="nil"/>
              <w:bottom w:val="single" w:sz="4" w:space="0" w:color="auto"/>
              <w:right w:val="single" w:sz="4" w:space="0" w:color="auto"/>
            </w:tcBorders>
            <w:shd w:val="clear" w:color="auto" w:fill="auto"/>
            <w:noWrap/>
            <w:vAlign w:val="center"/>
            <w:hideMark/>
          </w:tcPr>
          <w:p w14:paraId="06F35B9A"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3</w:t>
            </w:r>
          </w:p>
        </w:tc>
      </w:tr>
      <w:tr w:rsidR="00772287" w:rsidRPr="002340FA" w14:paraId="5FD860E6" w14:textId="77777777" w:rsidTr="00D0295E">
        <w:trPr>
          <w:trHeight w:val="255"/>
        </w:trPr>
        <w:tc>
          <w:tcPr>
            <w:tcW w:w="1416" w:type="dxa"/>
            <w:tcBorders>
              <w:top w:val="nil"/>
              <w:left w:val="single" w:sz="8" w:space="0" w:color="auto"/>
              <w:bottom w:val="single" w:sz="4" w:space="0" w:color="auto"/>
              <w:right w:val="single" w:sz="4" w:space="0" w:color="auto"/>
            </w:tcBorders>
            <w:shd w:val="clear" w:color="auto" w:fill="auto"/>
            <w:noWrap/>
            <w:vAlign w:val="center"/>
            <w:hideMark/>
          </w:tcPr>
          <w:p w14:paraId="4B635958" w14:textId="77777777" w:rsidR="00772287" w:rsidRPr="002340FA" w:rsidRDefault="00772287" w:rsidP="00D0295E">
            <w:pPr>
              <w:spacing w:after="0" w:line="280" w:lineRule="exact"/>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Fransa</w:t>
            </w:r>
          </w:p>
        </w:tc>
        <w:tc>
          <w:tcPr>
            <w:tcW w:w="842" w:type="dxa"/>
            <w:tcBorders>
              <w:top w:val="nil"/>
              <w:left w:val="nil"/>
              <w:bottom w:val="single" w:sz="4" w:space="0" w:color="auto"/>
              <w:right w:val="single" w:sz="4" w:space="0" w:color="auto"/>
            </w:tcBorders>
            <w:shd w:val="clear" w:color="auto" w:fill="auto"/>
            <w:noWrap/>
            <w:vAlign w:val="center"/>
            <w:hideMark/>
          </w:tcPr>
          <w:p w14:paraId="3D676CF8"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1.703</w:t>
            </w:r>
          </w:p>
        </w:tc>
        <w:tc>
          <w:tcPr>
            <w:tcW w:w="851" w:type="dxa"/>
            <w:tcBorders>
              <w:top w:val="nil"/>
              <w:left w:val="nil"/>
              <w:bottom w:val="single" w:sz="4" w:space="0" w:color="auto"/>
              <w:right w:val="single" w:sz="4" w:space="0" w:color="auto"/>
            </w:tcBorders>
            <w:shd w:val="clear" w:color="auto" w:fill="auto"/>
            <w:noWrap/>
            <w:vAlign w:val="center"/>
            <w:hideMark/>
          </w:tcPr>
          <w:p w14:paraId="43CC446E"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3.001</w:t>
            </w:r>
          </w:p>
        </w:tc>
        <w:tc>
          <w:tcPr>
            <w:tcW w:w="850" w:type="dxa"/>
            <w:tcBorders>
              <w:top w:val="nil"/>
              <w:left w:val="nil"/>
              <w:bottom w:val="single" w:sz="4" w:space="0" w:color="auto"/>
              <w:right w:val="single" w:sz="4" w:space="0" w:color="auto"/>
            </w:tcBorders>
            <w:shd w:val="clear" w:color="auto" w:fill="auto"/>
            <w:noWrap/>
            <w:vAlign w:val="center"/>
            <w:hideMark/>
          </w:tcPr>
          <w:p w14:paraId="0E69FDBD"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7.791</w:t>
            </w:r>
          </w:p>
        </w:tc>
        <w:tc>
          <w:tcPr>
            <w:tcW w:w="851" w:type="dxa"/>
            <w:tcBorders>
              <w:top w:val="nil"/>
              <w:left w:val="nil"/>
              <w:bottom w:val="single" w:sz="4" w:space="0" w:color="auto"/>
              <w:right w:val="single" w:sz="4" w:space="0" w:color="auto"/>
            </w:tcBorders>
            <w:shd w:val="clear" w:color="auto" w:fill="auto"/>
            <w:noWrap/>
            <w:vAlign w:val="center"/>
            <w:hideMark/>
          </w:tcPr>
          <w:p w14:paraId="133803F8"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10.065</w:t>
            </w:r>
          </w:p>
        </w:tc>
        <w:tc>
          <w:tcPr>
            <w:tcW w:w="850" w:type="dxa"/>
            <w:tcBorders>
              <w:top w:val="nil"/>
              <w:left w:val="nil"/>
              <w:bottom w:val="single" w:sz="4" w:space="0" w:color="auto"/>
              <w:right w:val="single" w:sz="4" w:space="0" w:color="auto"/>
            </w:tcBorders>
            <w:shd w:val="clear" w:color="auto" w:fill="auto"/>
            <w:noWrap/>
            <w:vAlign w:val="center"/>
            <w:hideMark/>
          </w:tcPr>
          <w:p w14:paraId="66FCFF6F"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5.384</w:t>
            </w:r>
          </w:p>
        </w:tc>
        <w:tc>
          <w:tcPr>
            <w:tcW w:w="709" w:type="dxa"/>
            <w:tcBorders>
              <w:top w:val="nil"/>
              <w:left w:val="nil"/>
              <w:bottom w:val="single" w:sz="4" w:space="0" w:color="auto"/>
              <w:right w:val="single" w:sz="4" w:space="0" w:color="auto"/>
            </w:tcBorders>
            <w:shd w:val="clear" w:color="auto" w:fill="auto"/>
            <w:noWrap/>
            <w:vAlign w:val="center"/>
            <w:hideMark/>
          </w:tcPr>
          <w:p w14:paraId="12E023F6"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w:t>
            </w:r>
          </w:p>
        </w:tc>
        <w:tc>
          <w:tcPr>
            <w:tcW w:w="709" w:type="dxa"/>
            <w:tcBorders>
              <w:top w:val="nil"/>
              <w:left w:val="nil"/>
              <w:bottom w:val="single" w:sz="4" w:space="0" w:color="auto"/>
              <w:right w:val="single" w:sz="4" w:space="0" w:color="auto"/>
            </w:tcBorders>
            <w:shd w:val="clear" w:color="auto" w:fill="auto"/>
            <w:noWrap/>
            <w:vAlign w:val="center"/>
            <w:hideMark/>
          </w:tcPr>
          <w:p w14:paraId="3BD057A7"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w:t>
            </w:r>
          </w:p>
        </w:tc>
        <w:tc>
          <w:tcPr>
            <w:tcW w:w="757" w:type="dxa"/>
            <w:tcBorders>
              <w:top w:val="nil"/>
              <w:left w:val="nil"/>
              <w:bottom w:val="single" w:sz="4" w:space="0" w:color="auto"/>
              <w:right w:val="single" w:sz="4" w:space="0" w:color="auto"/>
            </w:tcBorders>
            <w:shd w:val="clear" w:color="auto" w:fill="auto"/>
            <w:noWrap/>
            <w:vAlign w:val="center"/>
            <w:hideMark/>
          </w:tcPr>
          <w:p w14:paraId="42BF7FDA"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5</w:t>
            </w:r>
          </w:p>
        </w:tc>
        <w:tc>
          <w:tcPr>
            <w:tcW w:w="611" w:type="dxa"/>
            <w:tcBorders>
              <w:top w:val="nil"/>
              <w:left w:val="nil"/>
              <w:bottom w:val="single" w:sz="4" w:space="0" w:color="auto"/>
              <w:right w:val="single" w:sz="4" w:space="0" w:color="auto"/>
            </w:tcBorders>
            <w:shd w:val="clear" w:color="auto" w:fill="auto"/>
            <w:noWrap/>
            <w:vAlign w:val="center"/>
            <w:hideMark/>
          </w:tcPr>
          <w:p w14:paraId="4798B466"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8</w:t>
            </w:r>
          </w:p>
        </w:tc>
        <w:tc>
          <w:tcPr>
            <w:tcW w:w="611" w:type="dxa"/>
            <w:tcBorders>
              <w:top w:val="nil"/>
              <w:left w:val="nil"/>
              <w:bottom w:val="single" w:sz="4" w:space="0" w:color="auto"/>
              <w:right w:val="single" w:sz="4" w:space="0" w:color="auto"/>
            </w:tcBorders>
            <w:shd w:val="clear" w:color="auto" w:fill="auto"/>
            <w:noWrap/>
            <w:vAlign w:val="center"/>
            <w:hideMark/>
          </w:tcPr>
          <w:p w14:paraId="484D7D9A"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2</w:t>
            </w:r>
          </w:p>
        </w:tc>
      </w:tr>
      <w:tr w:rsidR="00772287" w:rsidRPr="002340FA" w14:paraId="1899762E" w14:textId="77777777" w:rsidTr="00D0295E">
        <w:trPr>
          <w:trHeight w:val="255"/>
        </w:trPr>
        <w:tc>
          <w:tcPr>
            <w:tcW w:w="1416" w:type="dxa"/>
            <w:tcBorders>
              <w:top w:val="nil"/>
              <w:left w:val="single" w:sz="8" w:space="0" w:color="auto"/>
              <w:bottom w:val="single" w:sz="4" w:space="0" w:color="auto"/>
              <w:right w:val="single" w:sz="4" w:space="0" w:color="auto"/>
            </w:tcBorders>
            <w:shd w:val="clear" w:color="auto" w:fill="auto"/>
            <w:noWrap/>
            <w:vAlign w:val="center"/>
            <w:hideMark/>
          </w:tcPr>
          <w:p w14:paraId="0B0A3D3C" w14:textId="77777777" w:rsidR="00772287" w:rsidRPr="002340FA" w:rsidRDefault="00772287" w:rsidP="00D0295E">
            <w:pPr>
              <w:spacing w:after="0" w:line="280" w:lineRule="exact"/>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Mısır</w:t>
            </w:r>
          </w:p>
        </w:tc>
        <w:tc>
          <w:tcPr>
            <w:tcW w:w="842" w:type="dxa"/>
            <w:tcBorders>
              <w:top w:val="nil"/>
              <w:left w:val="nil"/>
              <w:bottom w:val="single" w:sz="4" w:space="0" w:color="auto"/>
              <w:right w:val="single" w:sz="4" w:space="0" w:color="auto"/>
            </w:tcBorders>
            <w:shd w:val="clear" w:color="auto" w:fill="auto"/>
            <w:noWrap/>
            <w:vAlign w:val="center"/>
            <w:hideMark/>
          </w:tcPr>
          <w:p w14:paraId="22DBECEF"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0</w:t>
            </w:r>
          </w:p>
        </w:tc>
        <w:tc>
          <w:tcPr>
            <w:tcW w:w="851" w:type="dxa"/>
            <w:tcBorders>
              <w:top w:val="nil"/>
              <w:left w:val="nil"/>
              <w:bottom w:val="single" w:sz="4" w:space="0" w:color="auto"/>
              <w:right w:val="single" w:sz="4" w:space="0" w:color="auto"/>
            </w:tcBorders>
            <w:shd w:val="clear" w:color="auto" w:fill="auto"/>
            <w:noWrap/>
            <w:vAlign w:val="center"/>
            <w:hideMark/>
          </w:tcPr>
          <w:p w14:paraId="6A1D40E6"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100</w:t>
            </w:r>
          </w:p>
        </w:tc>
        <w:tc>
          <w:tcPr>
            <w:tcW w:w="850" w:type="dxa"/>
            <w:tcBorders>
              <w:top w:val="nil"/>
              <w:left w:val="nil"/>
              <w:bottom w:val="single" w:sz="4" w:space="0" w:color="auto"/>
              <w:right w:val="single" w:sz="4" w:space="0" w:color="auto"/>
            </w:tcBorders>
            <w:shd w:val="clear" w:color="auto" w:fill="auto"/>
            <w:noWrap/>
            <w:vAlign w:val="center"/>
            <w:hideMark/>
          </w:tcPr>
          <w:p w14:paraId="7F4F9A9B"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9.997</w:t>
            </w:r>
          </w:p>
        </w:tc>
        <w:tc>
          <w:tcPr>
            <w:tcW w:w="851" w:type="dxa"/>
            <w:tcBorders>
              <w:top w:val="nil"/>
              <w:left w:val="nil"/>
              <w:bottom w:val="single" w:sz="4" w:space="0" w:color="auto"/>
              <w:right w:val="single" w:sz="4" w:space="0" w:color="auto"/>
            </w:tcBorders>
            <w:shd w:val="clear" w:color="auto" w:fill="auto"/>
            <w:noWrap/>
            <w:vAlign w:val="center"/>
            <w:hideMark/>
          </w:tcPr>
          <w:p w14:paraId="2BEB3175"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20.593</w:t>
            </w:r>
          </w:p>
        </w:tc>
        <w:tc>
          <w:tcPr>
            <w:tcW w:w="850" w:type="dxa"/>
            <w:tcBorders>
              <w:top w:val="nil"/>
              <w:left w:val="nil"/>
              <w:bottom w:val="single" w:sz="4" w:space="0" w:color="auto"/>
              <w:right w:val="single" w:sz="4" w:space="0" w:color="auto"/>
            </w:tcBorders>
            <w:shd w:val="clear" w:color="auto" w:fill="auto"/>
            <w:noWrap/>
            <w:vAlign w:val="center"/>
            <w:hideMark/>
          </w:tcPr>
          <w:p w14:paraId="78D526CC"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4.653</w:t>
            </w:r>
          </w:p>
        </w:tc>
        <w:tc>
          <w:tcPr>
            <w:tcW w:w="709" w:type="dxa"/>
            <w:tcBorders>
              <w:top w:val="nil"/>
              <w:left w:val="nil"/>
              <w:bottom w:val="single" w:sz="4" w:space="0" w:color="auto"/>
              <w:right w:val="single" w:sz="4" w:space="0" w:color="auto"/>
            </w:tcBorders>
            <w:shd w:val="clear" w:color="auto" w:fill="auto"/>
            <w:noWrap/>
            <w:vAlign w:val="center"/>
            <w:hideMark/>
          </w:tcPr>
          <w:p w14:paraId="243E6363"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0</w:t>
            </w:r>
          </w:p>
        </w:tc>
        <w:tc>
          <w:tcPr>
            <w:tcW w:w="709" w:type="dxa"/>
            <w:tcBorders>
              <w:top w:val="nil"/>
              <w:left w:val="nil"/>
              <w:bottom w:val="single" w:sz="4" w:space="0" w:color="auto"/>
              <w:right w:val="single" w:sz="4" w:space="0" w:color="auto"/>
            </w:tcBorders>
            <w:shd w:val="clear" w:color="auto" w:fill="auto"/>
            <w:noWrap/>
            <w:vAlign w:val="center"/>
            <w:hideMark/>
          </w:tcPr>
          <w:p w14:paraId="08778970"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0</w:t>
            </w:r>
          </w:p>
        </w:tc>
        <w:tc>
          <w:tcPr>
            <w:tcW w:w="757" w:type="dxa"/>
            <w:tcBorders>
              <w:top w:val="nil"/>
              <w:left w:val="nil"/>
              <w:bottom w:val="single" w:sz="4" w:space="0" w:color="auto"/>
              <w:right w:val="single" w:sz="4" w:space="0" w:color="auto"/>
            </w:tcBorders>
            <w:shd w:val="clear" w:color="auto" w:fill="auto"/>
            <w:noWrap/>
            <w:vAlign w:val="center"/>
            <w:hideMark/>
          </w:tcPr>
          <w:p w14:paraId="6CE03133"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6</w:t>
            </w:r>
          </w:p>
        </w:tc>
        <w:tc>
          <w:tcPr>
            <w:tcW w:w="611" w:type="dxa"/>
            <w:tcBorders>
              <w:top w:val="nil"/>
              <w:left w:val="nil"/>
              <w:bottom w:val="single" w:sz="4" w:space="0" w:color="auto"/>
              <w:right w:val="single" w:sz="4" w:space="0" w:color="auto"/>
            </w:tcBorders>
            <w:shd w:val="clear" w:color="auto" w:fill="auto"/>
            <w:noWrap/>
            <w:vAlign w:val="center"/>
            <w:hideMark/>
          </w:tcPr>
          <w:p w14:paraId="6FCC7579"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18</w:t>
            </w:r>
          </w:p>
        </w:tc>
        <w:tc>
          <w:tcPr>
            <w:tcW w:w="611" w:type="dxa"/>
            <w:tcBorders>
              <w:top w:val="nil"/>
              <w:left w:val="nil"/>
              <w:bottom w:val="single" w:sz="4" w:space="0" w:color="auto"/>
              <w:right w:val="single" w:sz="4" w:space="0" w:color="auto"/>
            </w:tcBorders>
            <w:shd w:val="clear" w:color="auto" w:fill="auto"/>
            <w:noWrap/>
            <w:vAlign w:val="center"/>
            <w:hideMark/>
          </w:tcPr>
          <w:p w14:paraId="11C39E38" w14:textId="77777777" w:rsidR="00772287" w:rsidRPr="002340FA" w:rsidRDefault="00772287" w:rsidP="00D0295E">
            <w:pPr>
              <w:spacing w:after="0" w:line="280" w:lineRule="exact"/>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2</w:t>
            </w:r>
          </w:p>
        </w:tc>
      </w:tr>
      <w:tr w:rsidR="00772287" w:rsidRPr="002340FA" w14:paraId="036B2E40" w14:textId="77777777" w:rsidTr="00D0295E">
        <w:trPr>
          <w:trHeight w:val="255"/>
        </w:trPr>
        <w:tc>
          <w:tcPr>
            <w:tcW w:w="1416" w:type="dxa"/>
            <w:tcBorders>
              <w:top w:val="nil"/>
              <w:left w:val="single" w:sz="8" w:space="0" w:color="auto"/>
              <w:bottom w:val="single" w:sz="4" w:space="0" w:color="auto"/>
              <w:right w:val="single" w:sz="4" w:space="0" w:color="auto"/>
            </w:tcBorders>
            <w:shd w:val="clear" w:color="auto" w:fill="auto"/>
            <w:noWrap/>
            <w:vAlign w:val="center"/>
            <w:hideMark/>
          </w:tcPr>
          <w:p w14:paraId="52578027" w14:textId="77777777" w:rsidR="00772287" w:rsidRPr="002340FA" w:rsidRDefault="00772287" w:rsidP="00D0295E">
            <w:pPr>
              <w:spacing w:after="0" w:line="280" w:lineRule="exact"/>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Liste Toplamı</w:t>
            </w:r>
          </w:p>
        </w:tc>
        <w:tc>
          <w:tcPr>
            <w:tcW w:w="842" w:type="dxa"/>
            <w:tcBorders>
              <w:top w:val="nil"/>
              <w:left w:val="nil"/>
              <w:bottom w:val="single" w:sz="4" w:space="0" w:color="auto"/>
              <w:right w:val="single" w:sz="4" w:space="0" w:color="auto"/>
            </w:tcBorders>
            <w:shd w:val="clear" w:color="auto" w:fill="auto"/>
            <w:noWrap/>
            <w:vAlign w:val="center"/>
            <w:hideMark/>
          </w:tcPr>
          <w:p w14:paraId="01DC2FEA"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136.146</w:t>
            </w:r>
          </w:p>
        </w:tc>
        <w:tc>
          <w:tcPr>
            <w:tcW w:w="851" w:type="dxa"/>
            <w:tcBorders>
              <w:top w:val="nil"/>
              <w:left w:val="nil"/>
              <w:bottom w:val="single" w:sz="4" w:space="0" w:color="auto"/>
              <w:right w:val="single" w:sz="4" w:space="0" w:color="auto"/>
            </w:tcBorders>
            <w:shd w:val="clear" w:color="auto" w:fill="auto"/>
            <w:noWrap/>
            <w:vAlign w:val="center"/>
            <w:hideMark/>
          </w:tcPr>
          <w:p w14:paraId="7726CC04"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157.498</w:t>
            </w:r>
          </w:p>
        </w:tc>
        <w:tc>
          <w:tcPr>
            <w:tcW w:w="850" w:type="dxa"/>
            <w:tcBorders>
              <w:top w:val="nil"/>
              <w:left w:val="nil"/>
              <w:bottom w:val="single" w:sz="4" w:space="0" w:color="auto"/>
              <w:right w:val="single" w:sz="4" w:space="0" w:color="auto"/>
            </w:tcBorders>
            <w:shd w:val="clear" w:color="auto" w:fill="auto"/>
            <w:noWrap/>
            <w:vAlign w:val="center"/>
            <w:hideMark/>
          </w:tcPr>
          <w:p w14:paraId="266DB583"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180.038</w:t>
            </w:r>
          </w:p>
        </w:tc>
        <w:tc>
          <w:tcPr>
            <w:tcW w:w="851" w:type="dxa"/>
            <w:tcBorders>
              <w:top w:val="nil"/>
              <w:left w:val="nil"/>
              <w:bottom w:val="single" w:sz="4" w:space="0" w:color="auto"/>
              <w:right w:val="single" w:sz="4" w:space="0" w:color="auto"/>
            </w:tcBorders>
            <w:shd w:val="clear" w:color="auto" w:fill="auto"/>
            <w:noWrap/>
            <w:vAlign w:val="center"/>
            <w:hideMark/>
          </w:tcPr>
          <w:p w14:paraId="59D916F7"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203.326</w:t>
            </w:r>
          </w:p>
        </w:tc>
        <w:tc>
          <w:tcPr>
            <w:tcW w:w="850" w:type="dxa"/>
            <w:tcBorders>
              <w:top w:val="nil"/>
              <w:left w:val="nil"/>
              <w:bottom w:val="single" w:sz="4" w:space="0" w:color="auto"/>
              <w:right w:val="single" w:sz="4" w:space="0" w:color="auto"/>
            </w:tcBorders>
            <w:shd w:val="clear" w:color="auto" w:fill="auto"/>
            <w:noWrap/>
            <w:vAlign w:val="center"/>
            <w:hideMark/>
          </w:tcPr>
          <w:p w14:paraId="7852DA4B"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294.609</w:t>
            </w:r>
          </w:p>
        </w:tc>
        <w:tc>
          <w:tcPr>
            <w:tcW w:w="709" w:type="dxa"/>
            <w:tcBorders>
              <w:top w:val="nil"/>
              <w:left w:val="nil"/>
              <w:bottom w:val="single" w:sz="4" w:space="0" w:color="auto"/>
              <w:right w:val="single" w:sz="4" w:space="0" w:color="auto"/>
            </w:tcBorders>
            <w:shd w:val="clear" w:color="auto" w:fill="auto"/>
            <w:noWrap/>
            <w:vAlign w:val="center"/>
            <w:hideMark/>
          </w:tcPr>
          <w:p w14:paraId="1D8D63E9"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55</w:t>
            </w:r>
          </w:p>
        </w:tc>
        <w:tc>
          <w:tcPr>
            <w:tcW w:w="709" w:type="dxa"/>
            <w:tcBorders>
              <w:top w:val="nil"/>
              <w:left w:val="nil"/>
              <w:bottom w:val="single" w:sz="4" w:space="0" w:color="auto"/>
              <w:right w:val="single" w:sz="4" w:space="0" w:color="auto"/>
            </w:tcBorders>
            <w:shd w:val="clear" w:color="auto" w:fill="auto"/>
            <w:noWrap/>
            <w:vAlign w:val="center"/>
            <w:hideMark/>
          </w:tcPr>
          <w:p w14:paraId="543EB470"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64</w:t>
            </w:r>
          </w:p>
        </w:tc>
        <w:tc>
          <w:tcPr>
            <w:tcW w:w="757" w:type="dxa"/>
            <w:tcBorders>
              <w:top w:val="nil"/>
              <w:left w:val="nil"/>
              <w:bottom w:val="single" w:sz="4" w:space="0" w:color="auto"/>
              <w:right w:val="single" w:sz="4" w:space="0" w:color="auto"/>
            </w:tcBorders>
            <w:shd w:val="clear" w:color="auto" w:fill="auto"/>
            <w:noWrap/>
            <w:vAlign w:val="center"/>
            <w:hideMark/>
          </w:tcPr>
          <w:p w14:paraId="049D21E1"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110</w:t>
            </w:r>
          </w:p>
        </w:tc>
        <w:tc>
          <w:tcPr>
            <w:tcW w:w="611" w:type="dxa"/>
            <w:tcBorders>
              <w:top w:val="nil"/>
              <w:left w:val="nil"/>
              <w:bottom w:val="single" w:sz="4" w:space="0" w:color="auto"/>
              <w:right w:val="single" w:sz="4" w:space="0" w:color="auto"/>
            </w:tcBorders>
            <w:shd w:val="clear" w:color="auto" w:fill="auto"/>
            <w:noWrap/>
            <w:vAlign w:val="center"/>
            <w:hideMark/>
          </w:tcPr>
          <w:p w14:paraId="1B296B83"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157</w:t>
            </w:r>
          </w:p>
        </w:tc>
        <w:tc>
          <w:tcPr>
            <w:tcW w:w="611" w:type="dxa"/>
            <w:tcBorders>
              <w:top w:val="nil"/>
              <w:left w:val="nil"/>
              <w:bottom w:val="single" w:sz="4" w:space="0" w:color="auto"/>
              <w:right w:val="single" w:sz="4" w:space="0" w:color="auto"/>
            </w:tcBorders>
            <w:shd w:val="clear" w:color="auto" w:fill="auto"/>
            <w:noWrap/>
            <w:vAlign w:val="center"/>
            <w:hideMark/>
          </w:tcPr>
          <w:p w14:paraId="1F0E51F7"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131</w:t>
            </w:r>
          </w:p>
        </w:tc>
      </w:tr>
      <w:tr w:rsidR="00772287" w:rsidRPr="002340FA" w14:paraId="439501DB" w14:textId="77777777" w:rsidTr="00D0295E">
        <w:trPr>
          <w:trHeight w:val="270"/>
        </w:trPr>
        <w:tc>
          <w:tcPr>
            <w:tcW w:w="1416" w:type="dxa"/>
            <w:tcBorders>
              <w:top w:val="nil"/>
              <w:left w:val="single" w:sz="8" w:space="0" w:color="auto"/>
              <w:bottom w:val="single" w:sz="8" w:space="0" w:color="auto"/>
              <w:right w:val="single" w:sz="4" w:space="0" w:color="auto"/>
            </w:tcBorders>
            <w:shd w:val="clear" w:color="auto" w:fill="auto"/>
            <w:noWrap/>
            <w:vAlign w:val="center"/>
            <w:hideMark/>
          </w:tcPr>
          <w:p w14:paraId="41DA0599" w14:textId="77777777" w:rsidR="00772287" w:rsidRPr="002340FA" w:rsidRDefault="00772287" w:rsidP="00D0295E">
            <w:pPr>
              <w:spacing w:after="0" w:line="280" w:lineRule="exact"/>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Genel Toplam</w:t>
            </w:r>
          </w:p>
        </w:tc>
        <w:tc>
          <w:tcPr>
            <w:tcW w:w="842" w:type="dxa"/>
            <w:tcBorders>
              <w:top w:val="nil"/>
              <w:left w:val="nil"/>
              <w:bottom w:val="single" w:sz="8" w:space="0" w:color="auto"/>
              <w:right w:val="single" w:sz="4" w:space="0" w:color="auto"/>
            </w:tcBorders>
            <w:shd w:val="clear" w:color="auto" w:fill="auto"/>
            <w:noWrap/>
            <w:vAlign w:val="center"/>
            <w:hideMark/>
          </w:tcPr>
          <w:p w14:paraId="641588D6"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166.403</w:t>
            </w:r>
          </w:p>
        </w:tc>
        <w:tc>
          <w:tcPr>
            <w:tcW w:w="851" w:type="dxa"/>
            <w:tcBorders>
              <w:top w:val="nil"/>
              <w:left w:val="nil"/>
              <w:bottom w:val="single" w:sz="8" w:space="0" w:color="auto"/>
              <w:right w:val="single" w:sz="4" w:space="0" w:color="auto"/>
            </w:tcBorders>
            <w:shd w:val="clear" w:color="auto" w:fill="auto"/>
            <w:noWrap/>
            <w:vAlign w:val="center"/>
            <w:hideMark/>
          </w:tcPr>
          <w:p w14:paraId="292F53CF"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190.584</w:t>
            </w:r>
          </w:p>
        </w:tc>
        <w:tc>
          <w:tcPr>
            <w:tcW w:w="850" w:type="dxa"/>
            <w:tcBorders>
              <w:top w:val="nil"/>
              <w:left w:val="nil"/>
              <w:bottom w:val="single" w:sz="8" w:space="0" w:color="auto"/>
              <w:right w:val="single" w:sz="4" w:space="0" w:color="auto"/>
            </w:tcBorders>
            <w:shd w:val="clear" w:color="auto" w:fill="auto"/>
            <w:noWrap/>
            <w:vAlign w:val="center"/>
            <w:hideMark/>
          </w:tcPr>
          <w:p w14:paraId="17AEEC6A"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233.802</w:t>
            </w:r>
          </w:p>
        </w:tc>
        <w:tc>
          <w:tcPr>
            <w:tcW w:w="851" w:type="dxa"/>
            <w:tcBorders>
              <w:top w:val="nil"/>
              <w:left w:val="nil"/>
              <w:bottom w:val="single" w:sz="8" w:space="0" w:color="auto"/>
              <w:right w:val="single" w:sz="4" w:space="0" w:color="auto"/>
            </w:tcBorders>
            <w:shd w:val="clear" w:color="auto" w:fill="auto"/>
            <w:noWrap/>
            <w:vAlign w:val="center"/>
            <w:hideMark/>
          </w:tcPr>
          <w:p w14:paraId="2CB06B89"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248.068</w:t>
            </w:r>
          </w:p>
        </w:tc>
        <w:tc>
          <w:tcPr>
            <w:tcW w:w="850" w:type="dxa"/>
            <w:tcBorders>
              <w:top w:val="nil"/>
              <w:left w:val="nil"/>
              <w:bottom w:val="single" w:sz="8" w:space="0" w:color="auto"/>
              <w:right w:val="single" w:sz="4" w:space="0" w:color="auto"/>
            </w:tcBorders>
            <w:shd w:val="clear" w:color="auto" w:fill="auto"/>
            <w:noWrap/>
            <w:vAlign w:val="center"/>
            <w:hideMark/>
          </w:tcPr>
          <w:p w14:paraId="071A361F"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340.265</w:t>
            </w:r>
          </w:p>
        </w:tc>
        <w:tc>
          <w:tcPr>
            <w:tcW w:w="709" w:type="dxa"/>
            <w:tcBorders>
              <w:top w:val="nil"/>
              <w:left w:val="nil"/>
              <w:bottom w:val="single" w:sz="8" w:space="0" w:color="auto"/>
              <w:right w:val="single" w:sz="4" w:space="0" w:color="auto"/>
            </w:tcBorders>
            <w:shd w:val="clear" w:color="auto" w:fill="auto"/>
            <w:noWrap/>
            <w:vAlign w:val="center"/>
            <w:hideMark/>
          </w:tcPr>
          <w:p w14:paraId="139B0474"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68</w:t>
            </w:r>
          </w:p>
        </w:tc>
        <w:tc>
          <w:tcPr>
            <w:tcW w:w="709" w:type="dxa"/>
            <w:tcBorders>
              <w:top w:val="nil"/>
              <w:left w:val="nil"/>
              <w:bottom w:val="single" w:sz="8" w:space="0" w:color="auto"/>
              <w:right w:val="single" w:sz="4" w:space="0" w:color="auto"/>
            </w:tcBorders>
            <w:shd w:val="clear" w:color="auto" w:fill="auto"/>
            <w:noWrap/>
            <w:vAlign w:val="center"/>
            <w:hideMark/>
          </w:tcPr>
          <w:p w14:paraId="3D068AAA"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79</w:t>
            </w:r>
          </w:p>
        </w:tc>
        <w:tc>
          <w:tcPr>
            <w:tcW w:w="757" w:type="dxa"/>
            <w:tcBorders>
              <w:top w:val="nil"/>
              <w:left w:val="nil"/>
              <w:bottom w:val="single" w:sz="8" w:space="0" w:color="auto"/>
              <w:right w:val="single" w:sz="4" w:space="0" w:color="auto"/>
            </w:tcBorders>
            <w:shd w:val="clear" w:color="auto" w:fill="auto"/>
            <w:noWrap/>
            <w:vAlign w:val="center"/>
            <w:hideMark/>
          </w:tcPr>
          <w:p w14:paraId="3F028243"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142</w:t>
            </w:r>
          </w:p>
        </w:tc>
        <w:tc>
          <w:tcPr>
            <w:tcW w:w="611" w:type="dxa"/>
            <w:tcBorders>
              <w:top w:val="nil"/>
              <w:left w:val="nil"/>
              <w:bottom w:val="single" w:sz="8" w:space="0" w:color="auto"/>
              <w:right w:val="single" w:sz="4" w:space="0" w:color="auto"/>
            </w:tcBorders>
            <w:shd w:val="clear" w:color="auto" w:fill="auto"/>
            <w:noWrap/>
            <w:vAlign w:val="center"/>
            <w:hideMark/>
          </w:tcPr>
          <w:p w14:paraId="5E4C0A65"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190</w:t>
            </w:r>
          </w:p>
        </w:tc>
        <w:tc>
          <w:tcPr>
            <w:tcW w:w="611" w:type="dxa"/>
            <w:tcBorders>
              <w:top w:val="nil"/>
              <w:left w:val="nil"/>
              <w:bottom w:val="single" w:sz="8" w:space="0" w:color="auto"/>
              <w:right w:val="single" w:sz="4" w:space="0" w:color="auto"/>
            </w:tcBorders>
            <w:shd w:val="clear" w:color="auto" w:fill="auto"/>
            <w:noWrap/>
            <w:vAlign w:val="center"/>
            <w:hideMark/>
          </w:tcPr>
          <w:p w14:paraId="2637BE87" w14:textId="77777777" w:rsidR="00772287" w:rsidRPr="002340FA" w:rsidRDefault="00772287" w:rsidP="00D0295E">
            <w:pPr>
              <w:spacing w:after="0" w:line="280" w:lineRule="exact"/>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154</w:t>
            </w:r>
          </w:p>
        </w:tc>
      </w:tr>
    </w:tbl>
    <w:p w14:paraId="46750CF8" w14:textId="77777777" w:rsidR="00772287" w:rsidRPr="002340FA" w:rsidRDefault="00772287" w:rsidP="00772287">
      <w:pPr>
        <w:spacing w:after="180" w:line="300" w:lineRule="exact"/>
        <w:jc w:val="both"/>
        <w:rPr>
          <w:rFonts w:ascii="Times New Roman" w:hAnsi="Times New Roman" w:cs="Times New Roman"/>
          <w:b/>
          <w:bCs/>
          <w:sz w:val="24"/>
          <w:szCs w:val="24"/>
        </w:rPr>
      </w:pPr>
    </w:p>
    <w:p w14:paraId="137F5AD7"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Yukarıdaki tabloda 2023 yılı itibarıyla miktar bazında ithalattan en fazla pay alan on ülkeden 2019-2023 döneminde gerçekleştirilen ithalatın miktarları ile ithalatın değerleri yer almaktadır.</w:t>
      </w:r>
    </w:p>
    <w:p w14:paraId="17CCAE4B"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Buna göre, 2023 yılı itibarıyla miktar baz alınarak yapılan sıralamaya göre soruşturma konusu eşya ithalatında Almanya’nın (%30) ilk sırada yer aldığı, ardından İsrail (%21), Macaristan (%8), Polonya (%7) ve İspanya’nın (%7) geldiği görülmektedir.</w:t>
      </w:r>
    </w:p>
    <w:p w14:paraId="224731F7"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Bununla birlikte, ithalatın gerçekleştirildiği ilk on ülkenin sekizinin AB üyesi ülkelerden oluştuğu ve 2023 yılında Fransa hariç olmak üzere AB üyesi ülkelerden ithalatın arttığı tespit edilmiştir. Ayrıca, genel ithalat bir önceki yıla göre %37 oranında artarken, toplam ithalatın yaklaşık %60’ının yapıldığı ilk üç ülkeden ithalat genel ithalattan ayrışarak %72 oranında artış göstermiştir.</w:t>
      </w:r>
    </w:p>
    <w:p w14:paraId="2054857B"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lastRenderedPageBreak/>
        <w:t>3.5 Gelişme yolundaki ülkeler (GYÜ) itibarıyla ithalat</w:t>
      </w:r>
    </w:p>
    <w:p w14:paraId="659194BA" w14:textId="7116EB3D"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Korunma Önlemleri Anlaşmasının 9 uncu maddesi “Gelişme yolunda üye ülke menşeli bir ürüne karşı, bu ülkenin ilgili ürünün ithalatçı üye ithalatındaki payı yüzde 3'ü ve toplu olarak yüzde 3'ten daha az ithalat payına sahip gelişme yolundaki üye ülkelerin ilgili ürünün toplam ithalatının yüzde 9'unu geçmediği sürece, korunma tedbirleri uygulanmayacaktır” hükmünü içermektedir.</w:t>
      </w:r>
    </w:p>
    <w:p w14:paraId="1D0383A1"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 xml:space="preserve">Bu hüküm çerçevesinde, muafiyet tanınacak ülkeler listesinin tamamı Ek 2b’de yer almaktadır. Söz konusu muafiyet, her bir muaf ülke için 2023 yılı toplam ithalatının %3’ü (10.208 ton) ve tüm muaf ülkeler için toplam ithalatın %9’u (30.264 ton) seviyesinde belirlenecek tarife kontenjanı şeklinde uygulanacaktır. </w:t>
      </w:r>
    </w:p>
    <w:p w14:paraId="2ADD8C15"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3.6 İthalatın gerçekleşme koşulları</w:t>
      </w:r>
    </w:p>
    <w:p w14:paraId="1053DE3E"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İthal ürünlerin yurtiçi piyasadaki rekabet koşullarını güçlendiren fiyat dışında yerli üretim dalı tarafından üretilen ürünler arasında kalite, teknik özellikler, tasarım ve tüketici tercihleri açısından farklılık bulunmamaktadır.</w:t>
      </w:r>
    </w:p>
    <w:p w14:paraId="7C81B77A"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3.7 Öngörülmeyen gelişme</w:t>
      </w:r>
    </w:p>
    <w:p w14:paraId="1768C40D"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 xml:space="preserve">Soruşturma dönemi boyunca Türkiye’nin soruşturma konusu eşya ithalatında her yıl, bir önceki yıla göre ithalat artışı olduğu tespit edilmiştir. Bununla birlikte, ithalattan en fazla pay alan ilk on ülkeden sekizinin AB üyesi ülkelerden oluştuğu görülmektedir. </w:t>
      </w:r>
    </w:p>
    <w:p w14:paraId="2935DC99"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Diğer taraftan, kâğıt sektörüne ilişkin bazı araştırma raporlarında, dünya genelinde yiyecek ve içecek, tüketici ürünleri, kâğıt ve ambalaj gibi sektörlere son kullanıcının giderek artan talebinin bulunduğu; bunun da fluting ve testlayner gibi ambalaj, paketleme ve lojistik işinde sıkça kullanılan kâğıt cinslerine talebi artırdığı ve artırmaya devam edeceği ifade edilmektedir. (</w:t>
      </w:r>
      <w:hyperlink r:id="rId6" w:history="1">
        <w:r w:rsidRPr="002340FA">
          <w:rPr>
            <w:rFonts w:ascii="Times New Roman" w:hAnsi="Times New Roman" w:cs="Times New Roman"/>
            <w:i/>
            <w:iCs/>
            <w:color w:val="4472C4" w:themeColor="accent1"/>
            <w:sz w:val="16"/>
            <w:szCs w:val="16"/>
          </w:rPr>
          <w:t>Testliner and Fluting Paper Market Size In 2023 : Share, Trends, Opportunities Analysis Forecast Report By 2030</w:t>
        </w:r>
      </w:hyperlink>
      <w:r w:rsidRPr="002340FA">
        <w:rPr>
          <w:rFonts w:ascii="Times New Roman" w:hAnsi="Times New Roman" w:cs="Times New Roman"/>
          <w:sz w:val="24"/>
          <w:szCs w:val="24"/>
        </w:rPr>
        <w:t xml:space="preserve">) </w:t>
      </w:r>
    </w:p>
    <w:p w14:paraId="125CA410"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Kâğıt sektörüne ilişkin bir diğer sektörel haberde, Avrupalı bazı üreticilerin 2018’de yeni yatırımlara giriştiği, söz konusu yatırımlar ile önümüzdeki dönemde Avrupa’daki fluting ve testlayner üretim kapasitesinin 3,2 milyon tona ulaşacağı ifade edilmektedir. (</w:t>
      </w:r>
      <w:hyperlink r:id="rId7" w:history="1">
        <w:r w:rsidRPr="002340FA">
          <w:rPr>
            <w:rFonts w:ascii="Times New Roman" w:hAnsi="Times New Roman" w:cs="Times New Roman"/>
            <w:i/>
            <w:iCs/>
            <w:color w:val="4472C4" w:themeColor="accent1"/>
            <w:sz w:val="16"/>
            <w:szCs w:val="16"/>
          </w:rPr>
          <w:t>Corrugated board attracts big European investments</w:t>
        </w:r>
      </w:hyperlink>
      <w:r w:rsidRPr="002340FA">
        <w:rPr>
          <w:rFonts w:ascii="Times New Roman" w:hAnsi="Times New Roman" w:cs="Times New Roman"/>
          <w:sz w:val="24"/>
          <w:szCs w:val="24"/>
        </w:rPr>
        <w:t xml:space="preserve">) </w:t>
      </w:r>
    </w:p>
    <w:p w14:paraId="070EC26C"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Paketleme sektörüne yönelik bilgilerin yer aldığı ‘Packaging Gateway’ isimli internet sitesinde de bir Alman firması olan ‘Smurfit Kappa’nın 2022 yılındaki 42,2 milyon dolarlık yatırım ile kâğıt üretim kapasitesini 70 bin tondan 450 bin tona yükselteceği ifade edilmektedir. (</w:t>
      </w:r>
      <w:hyperlink r:id="rId8" w:history="1">
        <w:r w:rsidRPr="002340FA">
          <w:rPr>
            <w:rFonts w:ascii="Times New Roman" w:hAnsi="Times New Roman" w:cs="Times New Roman"/>
            <w:i/>
            <w:iCs/>
            <w:color w:val="4472C4" w:themeColor="accent1"/>
            <w:sz w:val="16"/>
            <w:szCs w:val="16"/>
          </w:rPr>
          <w:t>Smurfit Kappa invests in German paper mill site</w:t>
        </w:r>
      </w:hyperlink>
      <w:r w:rsidRPr="002340FA">
        <w:rPr>
          <w:rFonts w:ascii="Times New Roman" w:hAnsi="Times New Roman" w:cs="Times New Roman"/>
          <w:sz w:val="24"/>
          <w:szCs w:val="24"/>
        </w:rPr>
        <w:t>)</w:t>
      </w:r>
    </w:p>
    <w:p w14:paraId="5C455D15"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Yukarıda yer verilen bilgiler de göstermektedir ki özellikle Avrupa ülkelerinde kâğıt sektöründe yatırımlar hızlı bir şekilde artmış ve iç talebin üzerinde bir üretim kapasitesi oluşmuştur. Nitekim, trade map verilerinden, 2022 yılının ilk aylarında meydana gelen Rusya-Ukrayna krizi sebebiyle AB ülkelerinin Rusya’ya yaptığı fluting ve testlayner ihracatının önemli ölçüde düştüğü, söz konusu ürünlerin ihracatının ülkemize kaydığı anlaşılmaktadır.</w:t>
      </w:r>
    </w:p>
    <w:p w14:paraId="6C10E324"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 xml:space="preserve">Diğer taraftan, Eurostat verilerinin incelenmesinden AB ülkelerinin Çin’e soruşturma konusu eşya ihracatı, Çin’in pandemi döneminde dünya ülkelerinden ayrışarak tam kapanma ve sıfır kovid uygulamasını benimsemesi nedeniyle ciddi bir şekilde düşerek 2021 yılında bir önceki yıla göre %71, 2022 yılında ise %81 azalış kaydederek 29,8 bin ton seviyesine gerilemiş olup </w:t>
      </w:r>
      <w:r w:rsidRPr="002340FA">
        <w:rPr>
          <w:rFonts w:ascii="Times New Roman" w:hAnsi="Times New Roman" w:cs="Times New Roman"/>
          <w:sz w:val="24"/>
          <w:szCs w:val="24"/>
        </w:rPr>
        <w:lastRenderedPageBreak/>
        <w:t>bahse konu dönemde AB menşeli eşyanın ihracatının bir kısmının düşük birim fiyatla ülkemize kaydığı tespit edilmiştir.</w:t>
      </w:r>
    </w:p>
    <w:p w14:paraId="5EE6C739"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 itibarla, Avrupa’da özellikle 2020 yılından itibaren fluting ve testlayner yatırımlarının hızlı bir şekilde ve yüksek oranda artması, AB’nin muhtemel pazarlarından Rusya’nın, Rusya-Ukrayna savaşı nedeniyle kapanması ile Çin’in pandemi döneminde tam kapanma ve sıfır kovid uygulamasını benimsemesi nedeniyle AB’nin Çin’e ihracatının düşmesi hususlarının Türkiye için öngörülmeyen gelişmeler niteliğinde olduğu değerlendirilmektedir.</w:t>
      </w:r>
    </w:p>
    <w:p w14:paraId="5675CC51"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4. Ciddi zarar ve ciddi zarar tehdidi</w:t>
      </w:r>
    </w:p>
    <w:p w14:paraId="002C2DE0"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 bölümde yer verilen soruşturma konusu eşyanın yerli üretimine ilişkin ekonomik göstergeler, başvuru sahibi firmaların sağladığı verilere ve ithalat istatistiklerine dayanmaktadır.</w:t>
      </w:r>
    </w:p>
    <w:p w14:paraId="39E893D0"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4.1 Tüketim</w:t>
      </w:r>
    </w:p>
    <w:tbl>
      <w:tblPr>
        <w:tblW w:w="9062" w:type="dxa"/>
        <w:tblLayout w:type="fixed"/>
        <w:tblCellMar>
          <w:left w:w="70" w:type="dxa"/>
          <w:right w:w="70" w:type="dxa"/>
        </w:tblCellMar>
        <w:tblLook w:val="04A0" w:firstRow="1" w:lastRow="0" w:firstColumn="1" w:lastColumn="0" w:noHBand="0" w:noVBand="1"/>
      </w:tblPr>
      <w:tblGrid>
        <w:gridCol w:w="2258"/>
        <w:gridCol w:w="851"/>
        <w:gridCol w:w="992"/>
        <w:gridCol w:w="1134"/>
        <w:gridCol w:w="1134"/>
        <w:gridCol w:w="1276"/>
        <w:gridCol w:w="1417"/>
      </w:tblGrid>
      <w:tr w:rsidR="00772287" w:rsidRPr="002340FA" w14:paraId="743FCF45" w14:textId="77777777" w:rsidTr="00D0295E">
        <w:trPr>
          <w:trHeight w:val="315"/>
        </w:trPr>
        <w:tc>
          <w:tcPr>
            <w:tcW w:w="2258"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A7B5733"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Tüketim</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58CD1013"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Birim</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4DEE8CDB"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2019</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14:paraId="539E933C"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2020</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14:paraId="0583514C"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2021</w:t>
            </w:r>
          </w:p>
        </w:tc>
        <w:tc>
          <w:tcPr>
            <w:tcW w:w="1276" w:type="dxa"/>
            <w:tcBorders>
              <w:top w:val="single" w:sz="8" w:space="0" w:color="auto"/>
              <w:left w:val="nil"/>
              <w:bottom w:val="single" w:sz="4" w:space="0" w:color="auto"/>
              <w:right w:val="single" w:sz="4" w:space="0" w:color="auto"/>
            </w:tcBorders>
            <w:shd w:val="clear" w:color="auto" w:fill="auto"/>
            <w:vAlign w:val="center"/>
            <w:hideMark/>
          </w:tcPr>
          <w:p w14:paraId="19D284B0"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2022</w:t>
            </w:r>
          </w:p>
        </w:tc>
        <w:tc>
          <w:tcPr>
            <w:tcW w:w="1417" w:type="dxa"/>
            <w:tcBorders>
              <w:top w:val="single" w:sz="8" w:space="0" w:color="auto"/>
              <w:left w:val="nil"/>
              <w:bottom w:val="single" w:sz="4" w:space="0" w:color="auto"/>
              <w:right w:val="single" w:sz="8" w:space="0" w:color="auto"/>
            </w:tcBorders>
            <w:shd w:val="clear" w:color="auto" w:fill="auto"/>
            <w:vAlign w:val="center"/>
            <w:hideMark/>
          </w:tcPr>
          <w:p w14:paraId="3C3910A1"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0"/>
                <w:szCs w:val="20"/>
                <w:lang w:eastAsia="tr-TR"/>
              </w:rPr>
            </w:pPr>
            <w:r w:rsidRPr="002340FA">
              <w:rPr>
                <w:rFonts w:ascii="Times New Roman" w:eastAsia="Times New Roman" w:hAnsi="Times New Roman" w:cs="Times New Roman"/>
                <w:b/>
                <w:bCs/>
                <w:color w:val="000000"/>
                <w:sz w:val="20"/>
                <w:szCs w:val="20"/>
                <w:lang w:eastAsia="tr-TR"/>
              </w:rPr>
              <w:t>2023</w:t>
            </w:r>
          </w:p>
        </w:tc>
      </w:tr>
      <w:tr w:rsidR="00772287" w:rsidRPr="002340FA" w14:paraId="2B53721D" w14:textId="77777777" w:rsidTr="00D0295E">
        <w:trPr>
          <w:trHeight w:val="315"/>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14:paraId="4EFF81A7" w14:textId="77777777" w:rsidR="00772287" w:rsidRPr="002340FA" w:rsidRDefault="00772287" w:rsidP="00D0295E">
            <w:pPr>
              <w:spacing w:after="0" w:line="240" w:lineRule="auto"/>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 xml:space="preserve">Türkiye Toplam Tüketimi </w:t>
            </w:r>
          </w:p>
        </w:tc>
        <w:tc>
          <w:tcPr>
            <w:tcW w:w="851" w:type="dxa"/>
            <w:tcBorders>
              <w:top w:val="nil"/>
              <w:left w:val="nil"/>
              <w:bottom w:val="single" w:sz="4" w:space="0" w:color="auto"/>
              <w:right w:val="single" w:sz="4" w:space="0" w:color="auto"/>
            </w:tcBorders>
            <w:shd w:val="clear" w:color="auto" w:fill="auto"/>
            <w:vAlign w:val="center"/>
            <w:hideMark/>
          </w:tcPr>
          <w:p w14:paraId="3B1DB99D" w14:textId="77777777" w:rsidR="00772287" w:rsidRPr="002340FA" w:rsidRDefault="00772287" w:rsidP="00D0295E">
            <w:pPr>
              <w:spacing w:after="0" w:line="240" w:lineRule="auto"/>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Endeks</w:t>
            </w:r>
          </w:p>
        </w:tc>
        <w:tc>
          <w:tcPr>
            <w:tcW w:w="992" w:type="dxa"/>
            <w:tcBorders>
              <w:top w:val="nil"/>
              <w:left w:val="nil"/>
              <w:bottom w:val="single" w:sz="4" w:space="0" w:color="auto"/>
              <w:right w:val="single" w:sz="4" w:space="0" w:color="auto"/>
            </w:tcBorders>
            <w:shd w:val="clear" w:color="auto" w:fill="auto"/>
            <w:vAlign w:val="center"/>
            <w:hideMark/>
          </w:tcPr>
          <w:p w14:paraId="7E667C9F" w14:textId="77777777" w:rsidR="00772287" w:rsidRPr="002340FA" w:rsidRDefault="00772287" w:rsidP="00D0295E">
            <w:pPr>
              <w:spacing w:after="0" w:line="240" w:lineRule="auto"/>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100</w:t>
            </w:r>
          </w:p>
        </w:tc>
        <w:tc>
          <w:tcPr>
            <w:tcW w:w="1134" w:type="dxa"/>
            <w:tcBorders>
              <w:top w:val="nil"/>
              <w:left w:val="nil"/>
              <w:bottom w:val="single" w:sz="4" w:space="0" w:color="auto"/>
              <w:right w:val="single" w:sz="4" w:space="0" w:color="auto"/>
            </w:tcBorders>
            <w:shd w:val="clear" w:color="auto" w:fill="auto"/>
            <w:vAlign w:val="center"/>
            <w:hideMark/>
          </w:tcPr>
          <w:p w14:paraId="3CC7CFA1" w14:textId="77777777" w:rsidR="00772287" w:rsidRPr="002340FA" w:rsidRDefault="00772287" w:rsidP="00D0295E">
            <w:pPr>
              <w:spacing w:after="0" w:line="240" w:lineRule="auto"/>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115</w:t>
            </w:r>
          </w:p>
        </w:tc>
        <w:tc>
          <w:tcPr>
            <w:tcW w:w="1134" w:type="dxa"/>
            <w:tcBorders>
              <w:top w:val="nil"/>
              <w:left w:val="nil"/>
              <w:bottom w:val="single" w:sz="4" w:space="0" w:color="auto"/>
              <w:right w:val="single" w:sz="4" w:space="0" w:color="auto"/>
            </w:tcBorders>
            <w:shd w:val="clear" w:color="auto" w:fill="auto"/>
            <w:vAlign w:val="center"/>
            <w:hideMark/>
          </w:tcPr>
          <w:p w14:paraId="587534AB" w14:textId="77777777" w:rsidR="00772287" w:rsidRPr="002340FA" w:rsidRDefault="00772287" w:rsidP="00D0295E">
            <w:pPr>
              <w:spacing w:after="0" w:line="240" w:lineRule="auto"/>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122</w:t>
            </w:r>
          </w:p>
        </w:tc>
        <w:tc>
          <w:tcPr>
            <w:tcW w:w="1276" w:type="dxa"/>
            <w:tcBorders>
              <w:top w:val="nil"/>
              <w:left w:val="nil"/>
              <w:bottom w:val="single" w:sz="4" w:space="0" w:color="auto"/>
              <w:right w:val="single" w:sz="4" w:space="0" w:color="auto"/>
            </w:tcBorders>
            <w:shd w:val="clear" w:color="auto" w:fill="auto"/>
            <w:vAlign w:val="center"/>
            <w:hideMark/>
          </w:tcPr>
          <w:p w14:paraId="23727484" w14:textId="77777777" w:rsidR="00772287" w:rsidRPr="002340FA" w:rsidRDefault="00772287" w:rsidP="00D0295E">
            <w:pPr>
              <w:spacing w:after="0" w:line="240" w:lineRule="auto"/>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105</w:t>
            </w:r>
          </w:p>
        </w:tc>
        <w:tc>
          <w:tcPr>
            <w:tcW w:w="1417" w:type="dxa"/>
            <w:tcBorders>
              <w:top w:val="nil"/>
              <w:left w:val="nil"/>
              <w:bottom w:val="single" w:sz="4" w:space="0" w:color="auto"/>
              <w:right w:val="single" w:sz="4" w:space="0" w:color="auto"/>
            </w:tcBorders>
            <w:shd w:val="clear" w:color="auto" w:fill="auto"/>
            <w:vAlign w:val="center"/>
            <w:hideMark/>
          </w:tcPr>
          <w:p w14:paraId="78ECB11C" w14:textId="77777777" w:rsidR="00772287" w:rsidRPr="002340FA" w:rsidRDefault="00772287" w:rsidP="00D0295E">
            <w:pPr>
              <w:spacing w:after="0" w:line="240" w:lineRule="auto"/>
              <w:jc w:val="center"/>
              <w:rPr>
                <w:rFonts w:ascii="Times New Roman" w:eastAsia="Times New Roman" w:hAnsi="Times New Roman" w:cs="Times New Roman"/>
                <w:color w:val="000000"/>
                <w:sz w:val="20"/>
                <w:szCs w:val="20"/>
                <w:lang w:eastAsia="tr-TR"/>
              </w:rPr>
            </w:pPr>
            <w:r w:rsidRPr="002340FA">
              <w:rPr>
                <w:rFonts w:ascii="Times New Roman" w:eastAsia="Times New Roman" w:hAnsi="Times New Roman" w:cs="Times New Roman"/>
                <w:color w:val="000000"/>
                <w:sz w:val="20"/>
                <w:szCs w:val="20"/>
                <w:lang w:eastAsia="tr-TR"/>
              </w:rPr>
              <w:t>111</w:t>
            </w:r>
          </w:p>
        </w:tc>
      </w:tr>
    </w:tbl>
    <w:p w14:paraId="3B4D8E97" w14:textId="77777777" w:rsidR="00772287" w:rsidRPr="002340FA" w:rsidRDefault="00772287" w:rsidP="00772287">
      <w:pPr>
        <w:spacing w:after="180" w:line="300" w:lineRule="exact"/>
        <w:jc w:val="both"/>
        <w:rPr>
          <w:rFonts w:ascii="Times New Roman" w:hAnsi="Times New Roman" w:cs="Times New Roman"/>
          <w:b/>
          <w:bCs/>
          <w:sz w:val="24"/>
          <w:szCs w:val="24"/>
        </w:rPr>
      </w:pPr>
    </w:p>
    <w:p w14:paraId="2963F858"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Tüketim verisine başvuru sahibi firmaların yurtiçi satış verileri ile ithalat verileri konsolide edilerek ulaşılmıştır. 2019’da 100 olan endeks değeri 2021 yılına kadar artarak 122 seviyesine yükselmiş, 2022’de azalarak 105, 2023’de artarak 111 olarak gerçekleşmiştir.</w:t>
      </w:r>
    </w:p>
    <w:p w14:paraId="7B3B185D"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4.2 Üretim</w:t>
      </w:r>
    </w:p>
    <w:tbl>
      <w:tblPr>
        <w:tblW w:w="9062" w:type="dxa"/>
        <w:tblLayout w:type="fixed"/>
        <w:tblCellMar>
          <w:left w:w="70" w:type="dxa"/>
          <w:right w:w="70" w:type="dxa"/>
        </w:tblCellMar>
        <w:tblLook w:val="04A0" w:firstRow="1" w:lastRow="0" w:firstColumn="1" w:lastColumn="0" w:noHBand="0" w:noVBand="1"/>
      </w:tblPr>
      <w:tblGrid>
        <w:gridCol w:w="2542"/>
        <w:gridCol w:w="850"/>
        <w:gridCol w:w="1134"/>
        <w:gridCol w:w="993"/>
        <w:gridCol w:w="992"/>
        <w:gridCol w:w="1134"/>
        <w:gridCol w:w="1417"/>
      </w:tblGrid>
      <w:tr w:rsidR="00772287" w:rsidRPr="002340FA" w14:paraId="26FF9515" w14:textId="77777777" w:rsidTr="00D0295E">
        <w:trPr>
          <w:trHeight w:val="315"/>
        </w:trPr>
        <w:tc>
          <w:tcPr>
            <w:tcW w:w="2542"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522A42B" w14:textId="77777777" w:rsidR="00772287" w:rsidRPr="002340FA" w:rsidRDefault="00772287" w:rsidP="00D0295E">
            <w:pPr>
              <w:spacing w:after="0" w:line="240" w:lineRule="auto"/>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Üretim</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3D00CD2E"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Birim</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14:paraId="62CC2318"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2019</w:t>
            </w:r>
          </w:p>
        </w:tc>
        <w:tc>
          <w:tcPr>
            <w:tcW w:w="993" w:type="dxa"/>
            <w:tcBorders>
              <w:top w:val="single" w:sz="8" w:space="0" w:color="auto"/>
              <w:left w:val="nil"/>
              <w:bottom w:val="single" w:sz="4" w:space="0" w:color="auto"/>
              <w:right w:val="single" w:sz="4" w:space="0" w:color="auto"/>
            </w:tcBorders>
            <w:shd w:val="clear" w:color="auto" w:fill="auto"/>
            <w:vAlign w:val="center"/>
            <w:hideMark/>
          </w:tcPr>
          <w:p w14:paraId="4C6B3133"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2020</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474B576E"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2021</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14:paraId="3065F200"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2022</w:t>
            </w:r>
          </w:p>
        </w:tc>
        <w:tc>
          <w:tcPr>
            <w:tcW w:w="1417" w:type="dxa"/>
            <w:tcBorders>
              <w:top w:val="single" w:sz="8" w:space="0" w:color="auto"/>
              <w:left w:val="nil"/>
              <w:bottom w:val="single" w:sz="4" w:space="0" w:color="auto"/>
              <w:right w:val="single" w:sz="8" w:space="0" w:color="auto"/>
            </w:tcBorders>
            <w:shd w:val="clear" w:color="auto" w:fill="auto"/>
            <w:vAlign w:val="center"/>
            <w:hideMark/>
          </w:tcPr>
          <w:p w14:paraId="5201B813"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2023</w:t>
            </w:r>
          </w:p>
        </w:tc>
      </w:tr>
      <w:tr w:rsidR="00772287" w:rsidRPr="002340FA" w14:paraId="71F3362A" w14:textId="77777777" w:rsidTr="00D0295E">
        <w:trPr>
          <w:trHeight w:val="315"/>
        </w:trPr>
        <w:tc>
          <w:tcPr>
            <w:tcW w:w="2542" w:type="dxa"/>
            <w:tcBorders>
              <w:top w:val="nil"/>
              <w:left w:val="single" w:sz="8" w:space="0" w:color="auto"/>
              <w:bottom w:val="single" w:sz="4" w:space="0" w:color="auto"/>
              <w:right w:val="single" w:sz="4" w:space="0" w:color="auto"/>
            </w:tcBorders>
            <w:shd w:val="clear" w:color="auto" w:fill="auto"/>
            <w:noWrap/>
            <w:vAlign w:val="center"/>
            <w:hideMark/>
          </w:tcPr>
          <w:p w14:paraId="36071AD9"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Türkiye Toplam Üretimi</w:t>
            </w:r>
          </w:p>
        </w:tc>
        <w:tc>
          <w:tcPr>
            <w:tcW w:w="850" w:type="dxa"/>
            <w:tcBorders>
              <w:top w:val="nil"/>
              <w:left w:val="nil"/>
              <w:bottom w:val="single" w:sz="4" w:space="0" w:color="auto"/>
              <w:right w:val="single" w:sz="4" w:space="0" w:color="auto"/>
            </w:tcBorders>
            <w:shd w:val="clear" w:color="auto" w:fill="auto"/>
            <w:vAlign w:val="center"/>
            <w:hideMark/>
          </w:tcPr>
          <w:p w14:paraId="499DD6F7"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134" w:type="dxa"/>
            <w:tcBorders>
              <w:top w:val="nil"/>
              <w:left w:val="nil"/>
              <w:bottom w:val="single" w:sz="4" w:space="0" w:color="auto"/>
              <w:right w:val="single" w:sz="4" w:space="0" w:color="auto"/>
            </w:tcBorders>
            <w:shd w:val="clear" w:color="auto" w:fill="auto"/>
            <w:noWrap/>
            <w:vAlign w:val="center"/>
            <w:hideMark/>
          </w:tcPr>
          <w:p w14:paraId="474C9D4B"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993" w:type="dxa"/>
            <w:tcBorders>
              <w:top w:val="nil"/>
              <w:left w:val="nil"/>
              <w:bottom w:val="single" w:sz="4" w:space="0" w:color="auto"/>
              <w:right w:val="single" w:sz="4" w:space="0" w:color="auto"/>
            </w:tcBorders>
            <w:shd w:val="clear" w:color="auto" w:fill="auto"/>
            <w:noWrap/>
            <w:vAlign w:val="center"/>
            <w:hideMark/>
          </w:tcPr>
          <w:p w14:paraId="613B1EBC"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112</w:t>
            </w:r>
          </w:p>
        </w:tc>
        <w:tc>
          <w:tcPr>
            <w:tcW w:w="992" w:type="dxa"/>
            <w:tcBorders>
              <w:top w:val="nil"/>
              <w:left w:val="nil"/>
              <w:bottom w:val="single" w:sz="4" w:space="0" w:color="auto"/>
              <w:right w:val="single" w:sz="4" w:space="0" w:color="auto"/>
            </w:tcBorders>
            <w:shd w:val="clear" w:color="auto" w:fill="auto"/>
            <w:noWrap/>
            <w:vAlign w:val="center"/>
            <w:hideMark/>
          </w:tcPr>
          <w:p w14:paraId="3416FFFE"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112</w:t>
            </w:r>
          </w:p>
        </w:tc>
        <w:tc>
          <w:tcPr>
            <w:tcW w:w="1134" w:type="dxa"/>
            <w:tcBorders>
              <w:top w:val="nil"/>
              <w:left w:val="nil"/>
              <w:bottom w:val="single" w:sz="4" w:space="0" w:color="auto"/>
              <w:right w:val="single" w:sz="4" w:space="0" w:color="auto"/>
            </w:tcBorders>
            <w:shd w:val="clear" w:color="auto" w:fill="auto"/>
            <w:noWrap/>
            <w:vAlign w:val="center"/>
            <w:hideMark/>
          </w:tcPr>
          <w:p w14:paraId="71678A1D"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102</w:t>
            </w:r>
          </w:p>
        </w:tc>
        <w:tc>
          <w:tcPr>
            <w:tcW w:w="1417" w:type="dxa"/>
            <w:tcBorders>
              <w:top w:val="nil"/>
              <w:left w:val="nil"/>
              <w:bottom w:val="single" w:sz="4" w:space="0" w:color="auto"/>
              <w:right w:val="single" w:sz="8" w:space="0" w:color="auto"/>
            </w:tcBorders>
            <w:shd w:val="clear" w:color="auto" w:fill="auto"/>
            <w:noWrap/>
            <w:vAlign w:val="center"/>
            <w:hideMark/>
          </w:tcPr>
          <w:p w14:paraId="2C2A686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97</w:t>
            </w:r>
          </w:p>
        </w:tc>
      </w:tr>
    </w:tbl>
    <w:p w14:paraId="1A71DCCD" w14:textId="77777777" w:rsidR="00772287" w:rsidRPr="002340FA" w:rsidRDefault="00772287" w:rsidP="00772287">
      <w:pPr>
        <w:spacing w:after="180" w:line="300" w:lineRule="exact"/>
        <w:jc w:val="both"/>
        <w:rPr>
          <w:rFonts w:ascii="Times New Roman" w:hAnsi="Times New Roman" w:cs="Times New Roman"/>
          <w:b/>
          <w:bCs/>
          <w:sz w:val="24"/>
          <w:szCs w:val="24"/>
        </w:rPr>
      </w:pPr>
    </w:p>
    <w:p w14:paraId="1D305B8C"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 xml:space="preserve">2019 yılında 100 olan endeks değeri 2020’de 112’ye yükselmiş, 2021’de durağanlaşarak cüzi miktarda artarak yatay seyretmiş, 2022’de 102’ye, 2023’de 97 seviyesine düşmüştür. </w:t>
      </w:r>
    </w:p>
    <w:p w14:paraId="6334D0BD"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 veriler ışığında, üretimdeki bozulmanın 2021 yılından sonra meydana geldiği, 2023 yılında yaşanan üretim kaybının tamamının depremden kaynaklanmadığı/deprem bölgesinde yerleşik Kahramanmaraş ve Kipaş Kâğıdı kayda değer ölçüde etkilemediği, 2023 yılındaki üretim kaybının süregelmekte olan negatif konjonktürel hareket dolayısıyla ortaya çıktığı değerlendirilmektedir.</w:t>
      </w:r>
    </w:p>
    <w:p w14:paraId="7C38DC6A"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4.3 Yurtiçi satışlar</w:t>
      </w:r>
    </w:p>
    <w:tbl>
      <w:tblPr>
        <w:tblW w:w="9062" w:type="dxa"/>
        <w:tblLayout w:type="fixed"/>
        <w:tblCellMar>
          <w:left w:w="70" w:type="dxa"/>
          <w:right w:w="70" w:type="dxa"/>
        </w:tblCellMar>
        <w:tblLook w:val="04A0" w:firstRow="1" w:lastRow="0" w:firstColumn="1" w:lastColumn="0" w:noHBand="0" w:noVBand="1"/>
      </w:tblPr>
      <w:tblGrid>
        <w:gridCol w:w="1294"/>
        <w:gridCol w:w="1295"/>
        <w:gridCol w:w="1294"/>
        <w:gridCol w:w="1295"/>
        <w:gridCol w:w="1294"/>
        <w:gridCol w:w="1295"/>
        <w:gridCol w:w="1295"/>
      </w:tblGrid>
      <w:tr w:rsidR="00772287" w:rsidRPr="002340FA" w14:paraId="03280702" w14:textId="77777777" w:rsidTr="00D0295E">
        <w:trPr>
          <w:trHeight w:val="315"/>
        </w:trPr>
        <w:tc>
          <w:tcPr>
            <w:tcW w:w="12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C6CD515" w14:textId="77777777" w:rsidR="00772287" w:rsidRPr="002340FA" w:rsidRDefault="00772287" w:rsidP="00D0295E">
            <w:pPr>
              <w:spacing w:after="0" w:line="240" w:lineRule="auto"/>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Yurtiçi Satışlar</w:t>
            </w:r>
          </w:p>
        </w:tc>
        <w:tc>
          <w:tcPr>
            <w:tcW w:w="1295" w:type="dxa"/>
            <w:tcBorders>
              <w:top w:val="single" w:sz="8" w:space="0" w:color="auto"/>
              <w:left w:val="nil"/>
              <w:bottom w:val="single" w:sz="4" w:space="0" w:color="auto"/>
              <w:right w:val="single" w:sz="4" w:space="0" w:color="auto"/>
            </w:tcBorders>
            <w:shd w:val="clear" w:color="auto" w:fill="auto"/>
            <w:noWrap/>
            <w:vAlign w:val="center"/>
            <w:hideMark/>
          </w:tcPr>
          <w:p w14:paraId="663742CB"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Birim</w:t>
            </w:r>
          </w:p>
        </w:tc>
        <w:tc>
          <w:tcPr>
            <w:tcW w:w="1294" w:type="dxa"/>
            <w:tcBorders>
              <w:top w:val="single" w:sz="8" w:space="0" w:color="auto"/>
              <w:left w:val="nil"/>
              <w:bottom w:val="single" w:sz="4" w:space="0" w:color="auto"/>
              <w:right w:val="single" w:sz="4" w:space="0" w:color="auto"/>
            </w:tcBorders>
            <w:shd w:val="clear" w:color="auto" w:fill="auto"/>
            <w:vAlign w:val="center"/>
            <w:hideMark/>
          </w:tcPr>
          <w:p w14:paraId="710A607A"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2019</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36241664"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shd w:val="clear" w:color="auto" w:fill="auto"/>
            <w:vAlign w:val="center"/>
            <w:hideMark/>
          </w:tcPr>
          <w:p w14:paraId="217BCDBA"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2590126B"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2022</w:t>
            </w:r>
          </w:p>
        </w:tc>
        <w:tc>
          <w:tcPr>
            <w:tcW w:w="1295" w:type="dxa"/>
            <w:tcBorders>
              <w:top w:val="single" w:sz="8" w:space="0" w:color="auto"/>
              <w:left w:val="nil"/>
              <w:bottom w:val="single" w:sz="4" w:space="0" w:color="auto"/>
              <w:right w:val="single" w:sz="8" w:space="0" w:color="auto"/>
            </w:tcBorders>
            <w:shd w:val="clear" w:color="auto" w:fill="auto"/>
            <w:vAlign w:val="center"/>
            <w:hideMark/>
          </w:tcPr>
          <w:p w14:paraId="231F4F0A"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2023</w:t>
            </w:r>
          </w:p>
        </w:tc>
      </w:tr>
      <w:tr w:rsidR="00772287" w:rsidRPr="002340FA" w14:paraId="11F9496E" w14:textId="77777777" w:rsidTr="00D0295E">
        <w:trPr>
          <w:trHeight w:val="315"/>
        </w:trPr>
        <w:tc>
          <w:tcPr>
            <w:tcW w:w="1294" w:type="dxa"/>
            <w:tcBorders>
              <w:top w:val="nil"/>
              <w:left w:val="single" w:sz="8" w:space="0" w:color="auto"/>
              <w:bottom w:val="single" w:sz="4" w:space="0" w:color="auto"/>
              <w:right w:val="single" w:sz="4" w:space="0" w:color="auto"/>
            </w:tcBorders>
            <w:shd w:val="clear" w:color="auto" w:fill="auto"/>
            <w:noWrap/>
            <w:vAlign w:val="center"/>
            <w:hideMark/>
          </w:tcPr>
          <w:p w14:paraId="31A17912"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Miktar</w:t>
            </w:r>
          </w:p>
        </w:tc>
        <w:tc>
          <w:tcPr>
            <w:tcW w:w="1295" w:type="dxa"/>
            <w:tcBorders>
              <w:top w:val="nil"/>
              <w:left w:val="nil"/>
              <w:bottom w:val="single" w:sz="4" w:space="0" w:color="auto"/>
              <w:right w:val="single" w:sz="4" w:space="0" w:color="auto"/>
            </w:tcBorders>
            <w:shd w:val="clear" w:color="auto" w:fill="auto"/>
            <w:noWrap/>
            <w:vAlign w:val="center"/>
            <w:hideMark/>
          </w:tcPr>
          <w:p w14:paraId="1AAE7ADD"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294" w:type="dxa"/>
            <w:tcBorders>
              <w:top w:val="nil"/>
              <w:left w:val="nil"/>
              <w:bottom w:val="single" w:sz="4" w:space="0" w:color="auto"/>
              <w:right w:val="single" w:sz="4" w:space="0" w:color="auto"/>
            </w:tcBorders>
            <w:shd w:val="clear" w:color="auto" w:fill="auto"/>
            <w:noWrap/>
            <w:vAlign w:val="center"/>
            <w:hideMark/>
          </w:tcPr>
          <w:p w14:paraId="32AC3A2A"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295" w:type="dxa"/>
            <w:tcBorders>
              <w:top w:val="nil"/>
              <w:left w:val="nil"/>
              <w:bottom w:val="single" w:sz="4" w:space="0" w:color="auto"/>
              <w:right w:val="single" w:sz="4" w:space="0" w:color="auto"/>
            </w:tcBorders>
            <w:shd w:val="clear" w:color="auto" w:fill="auto"/>
            <w:noWrap/>
            <w:vAlign w:val="center"/>
            <w:hideMark/>
          </w:tcPr>
          <w:p w14:paraId="14403AD9"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115</w:t>
            </w:r>
          </w:p>
        </w:tc>
        <w:tc>
          <w:tcPr>
            <w:tcW w:w="1294" w:type="dxa"/>
            <w:tcBorders>
              <w:top w:val="nil"/>
              <w:left w:val="nil"/>
              <w:bottom w:val="single" w:sz="4" w:space="0" w:color="auto"/>
              <w:right w:val="single" w:sz="4" w:space="0" w:color="auto"/>
            </w:tcBorders>
            <w:shd w:val="clear" w:color="auto" w:fill="auto"/>
            <w:noWrap/>
            <w:vAlign w:val="center"/>
            <w:hideMark/>
          </w:tcPr>
          <w:p w14:paraId="7F1E4549"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120</w:t>
            </w:r>
          </w:p>
        </w:tc>
        <w:tc>
          <w:tcPr>
            <w:tcW w:w="1295" w:type="dxa"/>
            <w:tcBorders>
              <w:top w:val="nil"/>
              <w:left w:val="nil"/>
              <w:bottom w:val="single" w:sz="4" w:space="0" w:color="auto"/>
              <w:right w:val="single" w:sz="4" w:space="0" w:color="auto"/>
            </w:tcBorders>
            <w:shd w:val="clear" w:color="auto" w:fill="auto"/>
            <w:noWrap/>
            <w:vAlign w:val="center"/>
            <w:hideMark/>
          </w:tcPr>
          <w:p w14:paraId="4754F309"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101</w:t>
            </w:r>
          </w:p>
        </w:tc>
        <w:tc>
          <w:tcPr>
            <w:tcW w:w="1295" w:type="dxa"/>
            <w:tcBorders>
              <w:top w:val="nil"/>
              <w:left w:val="nil"/>
              <w:bottom w:val="single" w:sz="4" w:space="0" w:color="auto"/>
              <w:right w:val="single" w:sz="8" w:space="0" w:color="auto"/>
            </w:tcBorders>
            <w:shd w:val="clear" w:color="auto" w:fill="auto"/>
            <w:noWrap/>
            <w:vAlign w:val="center"/>
            <w:hideMark/>
          </w:tcPr>
          <w:p w14:paraId="20FC814E"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101</w:t>
            </w:r>
          </w:p>
        </w:tc>
      </w:tr>
    </w:tbl>
    <w:p w14:paraId="2382CE5D" w14:textId="77777777" w:rsidR="00772287" w:rsidRPr="002340FA" w:rsidRDefault="00772287" w:rsidP="00772287">
      <w:pPr>
        <w:spacing w:after="180" w:line="300" w:lineRule="exact"/>
        <w:jc w:val="both"/>
        <w:rPr>
          <w:rFonts w:ascii="Times New Roman" w:hAnsi="Times New Roman" w:cs="Times New Roman"/>
          <w:b/>
          <w:bCs/>
          <w:sz w:val="24"/>
          <w:szCs w:val="24"/>
        </w:rPr>
      </w:pPr>
    </w:p>
    <w:p w14:paraId="6C33919C"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Soruşturma konusu eşyanın yurtiçi satışları 2019 yılında 100 seviyesindeyken 2022’ye kadar düzenli bir şekilde artarak 120 seviyesine yükselmiştir. 2022 yılında azalarak 101 seviyesine düşmüş, 2023’de değişim yaşanmamıştır.</w:t>
      </w:r>
    </w:p>
    <w:p w14:paraId="116606FC"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lastRenderedPageBreak/>
        <w:t>4.4 Yurtdışı satışlar</w:t>
      </w:r>
    </w:p>
    <w:tbl>
      <w:tblPr>
        <w:tblW w:w="9062" w:type="dxa"/>
        <w:tblLayout w:type="fixed"/>
        <w:tblCellMar>
          <w:left w:w="70" w:type="dxa"/>
          <w:right w:w="70" w:type="dxa"/>
        </w:tblCellMar>
        <w:tblLook w:val="04A0" w:firstRow="1" w:lastRow="0" w:firstColumn="1" w:lastColumn="0" w:noHBand="0" w:noVBand="1"/>
      </w:tblPr>
      <w:tblGrid>
        <w:gridCol w:w="1294"/>
        <w:gridCol w:w="1295"/>
        <w:gridCol w:w="1294"/>
        <w:gridCol w:w="1295"/>
        <w:gridCol w:w="1294"/>
        <w:gridCol w:w="1295"/>
        <w:gridCol w:w="1295"/>
      </w:tblGrid>
      <w:tr w:rsidR="00772287" w:rsidRPr="002340FA" w14:paraId="7E1C6D56" w14:textId="77777777" w:rsidTr="00D0295E">
        <w:trPr>
          <w:trHeight w:val="315"/>
        </w:trPr>
        <w:tc>
          <w:tcPr>
            <w:tcW w:w="12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226A806"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Yurtiçi Satışlar</w:t>
            </w:r>
          </w:p>
        </w:tc>
        <w:tc>
          <w:tcPr>
            <w:tcW w:w="1295" w:type="dxa"/>
            <w:tcBorders>
              <w:top w:val="single" w:sz="8" w:space="0" w:color="auto"/>
              <w:left w:val="nil"/>
              <w:bottom w:val="single" w:sz="4" w:space="0" w:color="auto"/>
              <w:right w:val="single" w:sz="4" w:space="0" w:color="auto"/>
            </w:tcBorders>
            <w:shd w:val="clear" w:color="auto" w:fill="auto"/>
            <w:noWrap/>
            <w:vAlign w:val="center"/>
            <w:hideMark/>
          </w:tcPr>
          <w:p w14:paraId="7008A3AD"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Birim</w:t>
            </w:r>
          </w:p>
        </w:tc>
        <w:tc>
          <w:tcPr>
            <w:tcW w:w="1294" w:type="dxa"/>
            <w:tcBorders>
              <w:top w:val="single" w:sz="8" w:space="0" w:color="auto"/>
              <w:left w:val="nil"/>
              <w:bottom w:val="single" w:sz="4" w:space="0" w:color="auto"/>
              <w:right w:val="single" w:sz="4" w:space="0" w:color="auto"/>
            </w:tcBorders>
            <w:shd w:val="clear" w:color="auto" w:fill="auto"/>
            <w:vAlign w:val="center"/>
            <w:hideMark/>
          </w:tcPr>
          <w:p w14:paraId="167C1837"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2019</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31B9ACE7"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shd w:val="clear" w:color="auto" w:fill="auto"/>
            <w:vAlign w:val="center"/>
            <w:hideMark/>
          </w:tcPr>
          <w:p w14:paraId="3B2AF93A"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7AA801B4"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2022</w:t>
            </w:r>
          </w:p>
        </w:tc>
        <w:tc>
          <w:tcPr>
            <w:tcW w:w="1295" w:type="dxa"/>
            <w:tcBorders>
              <w:top w:val="single" w:sz="8" w:space="0" w:color="auto"/>
              <w:left w:val="nil"/>
              <w:bottom w:val="single" w:sz="4" w:space="0" w:color="auto"/>
              <w:right w:val="single" w:sz="8" w:space="0" w:color="auto"/>
            </w:tcBorders>
            <w:shd w:val="clear" w:color="auto" w:fill="auto"/>
            <w:vAlign w:val="center"/>
            <w:hideMark/>
          </w:tcPr>
          <w:p w14:paraId="1A565C37"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2023</w:t>
            </w:r>
          </w:p>
        </w:tc>
      </w:tr>
      <w:tr w:rsidR="00772287" w:rsidRPr="002340FA" w14:paraId="78811074" w14:textId="77777777" w:rsidTr="00D0295E">
        <w:trPr>
          <w:trHeight w:val="315"/>
        </w:trPr>
        <w:tc>
          <w:tcPr>
            <w:tcW w:w="1294" w:type="dxa"/>
            <w:tcBorders>
              <w:top w:val="nil"/>
              <w:left w:val="single" w:sz="8" w:space="0" w:color="auto"/>
              <w:bottom w:val="single" w:sz="4" w:space="0" w:color="auto"/>
              <w:right w:val="single" w:sz="4" w:space="0" w:color="auto"/>
            </w:tcBorders>
            <w:shd w:val="clear" w:color="auto" w:fill="auto"/>
            <w:noWrap/>
            <w:vAlign w:val="center"/>
            <w:hideMark/>
          </w:tcPr>
          <w:p w14:paraId="239B87C3"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Miktar</w:t>
            </w:r>
          </w:p>
        </w:tc>
        <w:tc>
          <w:tcPr>
            <w:tcW w:w="1295" w:type="dxa"/>
            <w:tcBorders>
              <w:top w:val="nil"/>
              <w:left w:val="nil"/>
              <w:bottom w:val="single" w:sz="4" w:space="0" w:color="auto"/>
              <w:right w:val="single" w:sz="4" w:space="0" w:color="auto"/>
            </w:tcBorders>
            <w:shd w:val="clear" w:color="auto" w:fill="auto"/>
            <w:noWrap/>
            <w:vAlign w:val="center"/>
            <w:hideMark/>
          </w:tcPr>
          <w:p w14:paraId="20B3FFB6"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294" w:type="dxa"/>
            <w:tcBorders>
              <w:top w:val="nil"/>
              <w:left w:val="nil"/>
              <w:bottom w:val="single" w:sz="4" w:space="0" w:color="auto"/>
              <w:right w:val="single" w:sz="4" w:space="0" w:color="auto"/>
            </w:tcBorders>
            <w:shd w:val="clear" w:color="auto" w:fill="auto"/>
            <w:noWrap/>
            <w:vAlign w:val="center"/>
            <w:hideMark/>
          </w:tcPr>
          <w:p w14:paraId="3465A19D"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295" w:type="dxa"/>
            <w:tcBorders>
              <w:top w:val="nil"/>
              <w:left w:val="nil"/>
              <w:bottom w:val="single" w:sz="4" w:space="0" w:color="auto"/>
              <w:right w:val="single" w:sz="4" w:space="0" w:color="auto"/>
            </w:tcBorders>
            <w:shd w:val="clear" w:color="auto" w:fill="auto"/>
            <w:noWrap/>
            <w:vAlign w:val="center"/>
            <w:hideMark/>
          </w:tcPr>
          <w:p w14:paraId="39F5DC3A"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97</w:t>
            </w:r>
          </w:p>
        </w:tc>
        <w:tc>
          <w:tcPr>
            <w:tcW w:w="1294" w:type="dxa"/>
            <w:tcBorders>
              <w:top w:val="nil"/>
              <w:left w:val="nil"/>
              <w:bottom w:val="single" w:sz="4" w:space="0" w:color="auto"/>
              <w:right w:val="single" w:sz="4" w:space="0" w:color="auto"/>
            </w:tcBorders>
            <w:shd w:val="clear" w:color="auto" w:fill="auto"/>
            <w:noWrap/>
            <w:vAlign w:val="center"/>
            <w:hideMark/>
          </w:tcPr>
          <w:p w14:paraId="280E6EE5"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52</w:t>
            </w:r>
          </w:p>
        </w:tc>
        <w:tc>
          <w:tcPr>
            <w:tcW w:w="1295" w:type="dxa"/>
            <w:tcBorders>
              <w:top w:val="nil"/>
              <w:left w:val="nil"/>
              <w:bottom w:val="single" w:sz="4" w:space="0" w:color="auto"/>
              <w:right w:val="single" w:sz="4" w:space="0" w:color="auto"/>
            </w:tcBorders>
            <w:shd w:val="clear" w:color="auto" w:fill="auto"/>
            <w:noWrap/>
            <w:vAlign w:val="center"/>
            <w:hideMark/>
          </w:tcPr>
          <w:p w14:paraId="4CC10827"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78</w:t>
            </w:r>
          </w:p>
        </w:tc>
        <w:tc>
          <w:tcPr>
            <w:tcW w:w="1295" w:type="dxa"/>
            <w:tcBorders>
              <w:top w:val="nil"/>
              <w:left w:val="nil"/>
              <w:bottom w:val="single" w:sz="4" w:space="0" w:color="auto"/>
              <w:right w:val="single" w:sz="8" w:space="0" w:color="auto"/>
            </w:tcBorders>
            <w:shd w:val="clear" w:color="auto" w:fill="auto"/>
            <w:noWrap/>
            <w:vAlign w:val="center"/>
            <w:hideMark/>
          </w:tcPr>
          <w:p w14:paraId="2462AC84"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51</w:t>
            </w:r>
          </w:p>
        </w:tc>
      </w:tr>
    </w:tbl>
    <w:p w14:paraId="0A611D71" w14:textId="77777777" w:rsidR="00772287" w:rsidRPr="002340FA" w:rsidRDefault="00772287" w:rsidP="00772287">
      <w:pPr>
        <w:spacing w:after="180" w:line="300" w:lineRule="exact"/>
        <w:jc w:val="both"/>
        <w:rPr>
          <w:rFonts w:ascii="Times New Roman" w:hAnsi="Times New Roman" w:cs="Times New Roman"/>
          <w:b/>
          <w:bCs/>
          <w:sz w:val="24"/>
          <w:szCs w:val="24"/>
        </w:rPr>
      </w:pPr>
    </w:p>
    <w:p w14:paraId="4AB32FB9"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Yurtdışı satışlar soruşturma dönemi boyunca aşağı yönlü bir trendi takip etmiş olup yalnızca 2022 yılında artış yaşandığı görülse bile yine de soruşturma döneminin ilk yılı olan 2019’a göre oldukça düşük seviyede gerçekleşmiştir.</w:t>
      </w:r>
    </w:p>
    <w:p w14:paraId="573AA479"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Buna göre, 2019 yılında 100 seviyesinde olan yurtdışı satışlar, 2020 yılında 97, en yüksek üretim miktarının gerçekleştiği 2021’de 52 seviyesine düştükten sonra 2022 yılında 78 seviyesine yükselmiş ancak 2023’de azalarak soruşturma döneminin en düşük seviyesi olan 51’e gerilemiştir.</w:t>
      </w:r>
    </w:p>
    <w:p w14:paraId="7FC48EBE"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Bununla birlikte, yurtdışı satışların toplam satışlar içindeki payının önemsiz düzeyde olduğu anlaşılmaktadır.</w:t>
      </w:r>
    </w:p>
    <w:p w14:paraId="32A51898"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4.5 Kapasite</w:t>
      </w:r>
    </w:p>
    <w:tbl>
      <w:tblPr>
        <w:tblW w:w="9062" w:type="dxa"/>
        <w:tblLayout w:type="fixed"/>
        <w:tblCellMar>
          <w:left w:w="70" w:type="dxa"/>
          <w:right w:w="70" w:type="dxa"/>
        </w:tblCellMar>
        <w:tblLook w:val="04A0" w:firstRow="1" w:lastRow="0" w:firstColumn="1" w:lastColumn="0" w:noHBand="0" w:noVBand="1"/>
      </w:tblPr>
      <w:tblGrid>
        <w:gridCol w:w="1294"/>
        <w:gridCol w:w="1295"/>
        <w:gridCol w:w="1294"/>
        <w:gridCol w:w="1295"/>
        <w:gridCol w:w="1294"/>
        <w:gridCol w:w="1295"/>
        <w:gridCol w:w="1295"/>
      </w:tblGrid>
      <w:tr w:rsidR="00772287" w:rsidRPr="002340FA" w14:paraId="361AC2E9" w14:textId="77777777" w:rsidTr="00D0295E">
        <w:trPr>
          <w:trHeight w:val="315"/>
        </w:trPr>
        <w:tc>
          <w:tcPr>
            <w:tcW w:w="12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2AD4595"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Kapasite</w:t>
            </w:r>
          </w:p>
        </w:tc>
        <w:tc>
          <w:tcPr>
            <w:tcW w:w="1295" w:type="dxa"/>
            <w:tcBorders>
              <w:top w:val="single" w:sz="8" w:space="0" w:color="auto"/>
              <w:left w:val="nil"/>
              <w:bottom w:val="single" w:sz="4" w:space="0" w:color="auto"/>
              <w:right w:val="single" w:sz="4" w:space="0" w:color="auto"/>
            </w:tcBorders>
            <w:shd w:val="clear" w:color="auto" w:fill="auto"/>
            <w:noWrap/>
            <w:vAlign w:val="center"/>
            <w:hideMark/>
          </w:tcPr>
          <w:p w14:paraId="4C5307BF"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Birim</w:t>
            </w:r>
          </w:p>
        </w:tc>
        <w:tc>
          <w:tcPr>
            <w:tcW w:w="1294" w:type="dxa"/>
            <w:tcBorders>
              <w:top w:val="single" w:sz="8" w:space="0" w:color="auto"/>
              <w:left w:val="nil"/>
              <w:bottom w:val="single" w:sz="4" w:space="0" w:color="auto"/>
              <w:right w:val="single" w:sz="4" w:space="0" w:color="auto"/>
            </w:tcBorders>
            <w:shd w:val="clear" w:color="auto" w:fill="auto"/>
            <w:vAlign w:val="center"/>
            <w:hideMark/>
          </w:tcPr>
          <w:p w14:paraId="285D0115"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2019</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12FF532E"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shd w:val="clear" w:color="auto" w:fill="auto"/>
            <w:vAlign w:val="center"/>
            <w:hideMark/>
          </w:tcPr>
          <w:p w14:paraId="6826C94D"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330574A7"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2022</w:t>
            </w:r>
          </w:p>
        </w:tc>
        <w:tc>
          <w:tcPr>
            <w:tcW w:w="1295" w:type="dxa"/>
            <w:tcBorders>
              <w:top w:val="single" w:sz="8" w:space="0" w:color="auto"/>
              <w:left w:val="nil"/>
              <w:bottom w:val="single" w:sz="4" w:space="0" w:color="auto"/>
              <w:right w:val="single" w:sz="8" w:space="0" w:color="auto"/>
            </w:tcBorders>
            <w:shd w:val="clear" w:color="auto" w:fill="auto"/>
            <w:vAlign w:val="center"/>
            <w:hideMark/>
          </w:tcPr>
          <w:p w14:paraId="7358F0CC"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2023</w:t>
            </w:r>
          </w:p>
        </w:tc>
      </w:tr>
      <w:tr w:rsidR="00772287" w:rsidRPr="002340FA" w14:paraId="5499540B" w14:textId="77777777" w:rsidTr="00D0295E">
        <w:trPr>
          <w:trHeight w:val="315"/>
        </w:trPr>
        <w:tc>
          <w:tcPr>
            <w:tcW w:w="1294" w:type="dxa"/>
            <w:tcBorders>
              <w:top w:val="nil"/>
              <w:left w:val="single" w:sz="8" w:space="0" w:color="auto"/>
              <w:bottom w:val="single" w:sz="4" w:space="0" w:color="auto"/>
              <w:right w:val="single" w:sz="4" w:space="0" w:color="auto"/>
            </w:tcBorders>
            <w:shd w:val="clear" w:color="auto" w:fill="auto"/>
            <w:noWrap/>
            <w:vAlign w:val="center"/>
            <w:hideMark/>
          </w:tcPr>
          <w:p w14:paraId="3BB447C6"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Miktar</w:t>
            </w:r>
          </w:p>
        </w:tc>
        <w:tc>
          <w:tcPr>
            <w:tcW w:w="1295" w:type="dxa"/>
            <w:tcBorders>
              <w:top w:val="nil"/>
              <w:left w:val="nil"/>
              <w:bottom w:val="single" w:sz="4" w:space="0" w:color="auto"/>
              <w:right w:val="single" w:sz="4" w:space="0" w:color="auto"/>
            </w:tcBorders>
            <w:shd w:val="clear" w:color="auto" w:fill="auto"/>
            <w:noWrap/>
            <w:vAlign w:val="center"/>
            <w:hideMark/>
          </w:tcPr>
          <w:p w14:paraId="0E325CB0"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294" w:type="dxa"/>
            <w:tcBorders>
              <w:top w:val="nil"/>
              <w:left w:val="nil"/>
              <w:bottom w:val="single" w:sz="4" w:space="0" w:color="auto"/>
              <w:right w:val="single" w:sz="4" w:space="0" w:color="auto"/>
            </w:tcBorders>
            <w:shd w:val="clear" w:color="auto" w:fill="auto"/>
            <w:noWrap/>
            <w:vAlign w:val="center"/>
            <w:hideMark/>
          </w:tcPr>
          <w:p w14:paraId="3D1A72AD"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295" w:type="dxa"/>
            <w:tcBorders>
              <w:top w:val="nil"/>
              <w:left w:val="nil"/>
              <w:bottom w:val="single" w:sz="4" w:space="0" w:color="auto"/>
              <w:right w:val="single" w:sz="4" w:space="0" w:color="auto"/>
            </w:tcBorders>
            <w:shd w:val="clear" w:color="auto" w:fill="auto"/>
            <w:noWrap/>
            <w:vAlign w:val="center"/>
            <w:hideMark/>
          </w:tcPr>
          <w:p w14:paraId="3AAE2D2A"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294" w:type="dxa"/>
            <w:tcBorders>
              <w:top w:val="nil"/>
              <w:left w:val="nil"/>
              <w:bottom w:val="single" w:sz="4" w:space="0" w:color="auto"/>
              <w:right w:val="single" w:sz="4" w:space="0" w:color="auto"/>
            </w:tcBorders>
            <w:shd w:val="clear" w:color="auto" w:fill="auto"/>
            <w:noWrap/>
            <w:vAlign w:val="center"/>
            <w:hideMark/>
          </w:tcPr>
          <w:p w14:paraId="470787B0"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295" w:type="dxa"/>
            <w:tcBorders>
              <w:top w:val="nil"/>
              <w:left w:val="nil"/>
              <w:bottom w:val="single" w:sz="4" w:space="0" w:color="auto"/>
              <w:right w:val="single" w:sz="4" w:space="0" w:color="auto"/>
            </w:tcBorders>
            <w:shd w:val="clear" w:color="auto" w:fill="auto"/>
            <w:noWrap/>
            <w:vAlign w:val="center"/>
            <w:hideMark/>
          </w:tcPr>
          <w:p w14:paraId="06ED4634"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295" w:type="dxa"/>
            <w:tcBorders>
              <w:top w:val="nil"/>
              <w:left w:val="nil"/>
              <w:bottom w:val="single" w:sz="4" w:space="0" w:color="auto"/>
              <w:right w:val="single" w:sz="8" w:space="0" w:color="auto"/>
            </w:tcBorders>
            <w:shd w:val="clear" w:color="auto" w:fill="auto"/>
            <w:noWrap/>
            <w:vAlign w:val="center"/>
            <w:hideMark/>
          </w:tcPr>
          <w:p w14:paraId="57AAF58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103</w:t>
            </w:r>
          </w:p>
        </w:tc>
      </w:tr>
      <w:tr w:rsidR="00772287" w:rsidRPr="002340FA" w14:paraId="6C3AC050" w14:textId="77777777" w:rsidTr="00D0295E">
        <w:trPr>
          <w:trHeight w:val="330"/>
        </w:trPr>
        <w:tc>
          <w:tcPr>
            <w:tcW w:w="1294" w:type="dxa"/>
            <w:tcBorders>
              <w:top w:val="nil"/>
              <w:left w:val="single" w:sz="8" w:space="0" w:color="auto"/>
              <w:bottom w:val="single" w:sz="8" w:space="0" w:color="auto"/>
              <w:right w:val="single" w:sz="4" w:space="0" w:color="auto"/>
            </w:tcBorders>
            <w:shd w:val="clear" w:color="auto" w:fill="auto"/>
            <w:noWrap/>
            <w:vAlign w:val="center"/>
            <w:hideMark/>
          </w:tcPr>
          <w:p w14:paraId="1939FF58"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KKO</w:t>
            </w:r>
          </w:p>
        </w:tc>
        <w:tc>
          <w:tcPr>
            <w:tcW w:w="1295" w:type="dxa"/>
            <w:tcBorders>
              <w:top w:val="nil"/>
              <w:left w:val="nil"/>
              <w:bottom w:val="single" w:sz="8" w:space="0" w:color="auto"/>
              <w:right w:val="single" w:sz="4" w:space="0" w:color="auto"/>
            </w:tcBorders>
            <w:shd w:val="clear" w:color="auto" w:fill="auto"/>
            <w:noWrap/>
            <w:vAlign w:val="center"/>
            <w:hideMark/>
          </w:tcPr>
          <w:p w14:paraId="6105822C"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294" w:type="dxa"/>
            <w:tcBorders>
              <w:top w:val="nil"/>
              <w:left w:val="nil"/>
              <w:bottom w:val="single" w:sz="8" w:space="0" w:color="auto"/>
              <w:right w:val="single" w:sz="4" w:space="0" w:color="auto"/>
            </w:tcBorders>
            <w:shd w:val="clear" w:color="auto" w:fill="auto"/>
            <w:noWrap/>
            <w:vAlign w:val="center"/>
            <w:hideMark/>
          </w:tcPr>
          <w:p w14:paraId="2B5FBC76"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295" w:type="dxa"/>
            <w:tcBorders>
              <w:top w:val="nil"/>
              <w:left w:val="nil"/>
              <w:bottom w:val="single" w:sz="8" w:space="0" w:color="auto"/>
              <w:right w:val="single" w:sz="4" w:space="0" w:color="auto"/>
            </w:tcBorders>
            <w:shd w:val="clear" w:color="auto" w:fill="auto"/>
            <w:noWrap/>
            <w:vAlign w:val="center"/>
            <w:hideMark/>
          </w:tcPr>
          <w:p w14:paraId="12CDB29E"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112</w:t>
            </w:r>
          </w:p>
        </w:tc>
        <w:tc>
          <w:tcPr>
            <w:tcW w:w="1294" w:type="dxa"/>
            <w:tcBorders>
              <w:top w:val="nil"/>
              <w:left w:val="nil"/>
              <w:bottom w:val="single" w:sz="8" w:space="0" w:color="auto"/>
              <w:right w:val="single" w:sz="4" w:space="0" w:color="auto"/>
            </w:tcBorders>
            <w:shd w:val="clear" w:color="auto" w:fill="auto"/>
            <w:noWrap/>
            <w:vAlign w:val="center"/>
            <w:hideMark/>
          </w:tcPr>
          <w:p w14:paraId="784A1044"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113</w:t>
            </w:r>
          </w:p>
        </w:tc>
        <w:tc>
          <w:tcPr>
            <w:tcW w:w="1295" w:type="dxa"/>
            <w:tcBorders>
              <w:top w:val="nil"/>
              <w:left w:val="nil"/>
              <w:bottom w:val="single" w:sz="8" w:space="0" w:color="auto"/>
              <w:right w:val="single" w:sz="4" w:space="0" w:color="auto"/>
            </w:tcBorders>
            <w:shd w:val="clear" w:color="auto" w:fill="auto"/>
            <w:noWrap/>
            <w:vAlign w:val="center"/>
            <w:hideMark/>
          </w:tcPr>
          <w:p w14:paraId="4C5EFBBC"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102</w:t>
            </w:r>
          </w:p>
        </w:tc>
        <w:tc>
          <w:tcPr>
            <w:tcW w:w="1295" w:type="dxa"/>
            <w:tcBorders>
              <w:top w:val="nil"/>
              <w:left w:val="nil"/>
              <w:bottom w:val="single" w:sz="8" w:space="0" w:color="auto"/>
              <w:right w:val="single" w:sz="8" w:space="0" w:color="auto"/>
            </w:tcBorders>
            <w:shd w:val="clear" w:color="auto" w:fill="auto"/>
            <w:noWrap/>
            <w:vAlign w:val="center"/>
            <w:hideMark/>
          </w:tcPr>
          <w:p w14:paraId="72EC3F06"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95</w:t>
            </w:r>
          </w:p>
        </w:tc>
      </w:tr>
    </w:tbl>
    <w:p w14:paraId="24F0B613" w14:textId="77777777" w:rsidR="00772287" w:rsidRPr="002340FA" w:rsidRDefault="00772287" w:rsidP="00772287">
      <w:pPr>
        <w:spacing w:after="180" w:line="300" w:lineRule="exact"/>
        <w:jc w:val="both"/>
        <w:rPr>
          <w:rFonts w:ascii="Times New Roman" w:hAnsi="Times New Roman" w:cs="Times New Roman"/>
          <w:b/>
          <w:bCs/>
          <w:sz w:val="24"/>
          <w:szCs w:val="24"/>
        </w:rPr>
      </w:pPr>
    </w:p>
    <w:p w14:paraId="4185B7DE"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Soruşturma konusu eşyanın yerli üreticilerinin üretim kapasitesi soruşturma dönemi boyunca yatay seyretmiş olup soruşturma dönemi başında 100 olan endeks değeri 2023 yılında cüzi miktarda artarak 103 seviyesine yükselmiştir.</w:t>
      </w:r>
    </w:p>
    <w:p w14:paraId="41EB85A2"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Bununla birlikte, var olan kapasitenin ne kadarının üretimde kullanıldığının göstergesi olan kapasite kullanım oranı (KKO) ise üretim miktarındaki değişimlerle birlikte 2019 yılında 100 seviyesindeyken 2021 yılına gelindiğinde 113 seviyesine yükselmiştir. Ancak, 2021 yılından sonra kendini gösteren diğer ekonomik göstergeleri bozucu gelişmelerle birlikte KKO’da da bir düşüş yaşanmış, 2022 yılında 102 seviyesine, 2023 yılında ise soruşturma dönemini boyunca gerçekleşen en düşük seviye olan 95 seviyesine gerilemiştir.</w:t>
      </w:r>
    </w:p>
    <w:p w14:paraId="0372645B"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4.6 Stoklar</w:t>
      </w:r>
    </w:p>
    <w:tbl>
      <w:tblPr>
        <w:tblW w:w="9062" w:type="dxa"/>
        <w:tblLayout w:type="fixed"/>
        <w:tblCellMar>
          <w:left w:w="70" w:type="dxa"/>
          <w:right w:w="70" w:type="dxa"/>
        </w:tblCellMar>
        <w:tblLook w:val="04A0" w:firstRow="1" w:lastRow="0" w:firstColumn="1" w:lastColumn="0" w:noHBand="0" w:noVBand="1"/>
      </w:tblPr>
      <w:tblGrid>
        <w:gridCol w:w="1294"/>
        <w:gridCol w:w="1295"/>
        <w:gridCol w:w="1294"/>
        <w:gridCol w:w="1295"/>
        <w:gridCol w:w="1294"/>
        <w:gridCol w:w="1295"/>
        <w:gridCol w:w="1295"/>
      </w:tblGrid>
      <w:tr w:rsidR="00772287" w:rsidRPr="002340FA" w14:paraId="2DE5B499" w14:textId="77777777" w:rsidTr="00D0295E">
        <w:trPr>
          <w:trHeight w:val="315"/>
        </w:trPr>
        <w:tc>
          <w:tcPr>
            <w:tcW w:w="1294"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680BBFE"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Stoklar</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23B8DD4F"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Birim</w:t>
            </w:r>
          </w:p>
        </w:tc>
        <w:tc>
          <w:tcPr>
            <w:tcW w:w="1294" w:type="dxa"/>
            <w:tcBorders>
              <w:top w:val="single" w:sz="8" w:space="0" w:color="auto"/>
              <w:left w:val="nil"/>
              <w:bottom w:val="single" w:sz="4" w:space="0" w:color="auto"/>
              <w:right w:val="single" w:sz="4" w:space="0" w:color="auto"/>
            </w:tcBorders>
            <w:shd w:val="clear" w:color="auto" w:fill="auto"/>
            <w:vAlign w:val="center"/>
            <w:hideMark/>
          </w:tcPr>
          <w:p w14:paraId="060EF7F8"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2019</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074B9786"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shd w:val="clear" w:color="auto" w:fill="auto"/>
            <w:vAlign w:val="center"/>
            <w:hideMark/>
          </w:tcPr>
          <w:p w14:paraId="7A00AC85"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06E7570B"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2022</w:t>
            </w:r>
          </w:p>
        </w:tc>
        <w:tc>
          <w:tcPr>
            <w:tcW w:w="1295" w:type="dxa"/>
            <w:tcBorders>
              <w:top w:val="single" w:sz="8" w:space="0" w:color="auto"/>
              <w:left w:val="nil"/>
              <w:bottom w:val="single" w:sz="4" w:space="0" w:color="auto"/>
              <w:right w:val="single" w:sz="8" w:space="0" w:color="auto"/>
            </w:tcBorders>
            <w:shd w:val="clear" w:color="auto" w:fill="auto"/>
            <w:vAlign w:val="center"/>
            <w:hideMark/>
          </w:tcPr>
          <w:p w14:paraId="7402E3AF"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2023</w:t>
            </w:r>
          </w:p>
        </w:tc>
      </w:tr>
      <w:tr w:rsidR="00772287" w:rsidRPr="002340FA" w14:paraId="05BD6502" w14:textId="77777777" w:rsidTr="00D0295E">
        <w:trPr>
          <w:trHeight w:val="315"/>
        </w:trPr>
        <w:tc>
          <w:tcPr>
            <w:tcW w:w="1294" w:type="dxa"/>
            <w:tcBorders>
              <w:top w:val="nil"/>
              <w:left w:val="single" w:sz="8" w:space="0" w:color="auto"/>
              <w:bottom w:val="single" w:sz="4" w:space="0" w:color="auto"/>
              <w:right w:val="single" w:sz="4" w:space="0" w:color="auto"/>
            </w:tcBorders>
            <w:shd w:val="clear" w:color="auto" w:fill="auto"/>
            <w:noWrap/>
            <w:vAlign w:val="center"/>
            <w:hideMark/>
          </w:tcPr>
          <w:p w14:paraId="604E2D84"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Miktar</w:t>
            </w:r>
          </w:p>
        </w:tc>
        <w:tc>
          <w:tcPr>
            <w:tcW w:w="1295" w:type="dxa"/>
            <w:tcBorders>
              <w:top w:val="nil"/>
              <w:left w:val="nil"/>
              <w:bottom w:val="single" w:sz="4" w:space="0" w:color="auto"/>
              <w:right w:val="single" w:sz="4" w:space="0" w:color="auto"/>
            </w:tcBorders>
            <w:shd w:val="clear" w:color="auto" w:fill="auto"/>
            <w:noWrap/>
            <w:vAlign w:val="center"/>
            <w:hideMark/>
          </w:tcPr>
          <w:p w14:paraId="32351C49"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294" w:type="dxa"/>
            <w:tcBorders>
              <w:top w:val="nil"/>
              <w:left w:val="nil"/>
              <w:bottom w:val="single" w:sz="4" w:space="0" w:color="auto"/>
              <w:right w:val="single" w:sz="4" w:space="0" w:color="auto"/>
            </w:tcBorders>
            <w:shd w:val="clear" w:color="auto" w:fill="auto"/>
            <w:noWrap/>
            <w:vAlign w:val="center"/>
            <w:hideMark/>
          </w:tcPr>
          <w:p w14:paraId="3A8AF59C"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295" w:type="dxa"/>
            <w:tcBorders>
              <w:top w:val="nil"/>
              <w:left w:val="nil"/>
              <w:bottom w:val="single" w:sz="4" w:space="0" w:color="auto"/>
              <w:right w:val="single" w:sz="4" w:space="0" w:color="auto"/>
            </w:tcBorders>
            <w:shd w:val="clear" w:color="auto" w:fill="auto"/>
            <w:noWrap/>
            <w:vAlign w:val="center"/>
            <w:hideMark/>
          </w:tcPr>
          <w:p w14:paraId="7FFD3A6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69</w:t>
            </w:r>
          </w:p>
        </w:tc>
        <w:tc>
          <w:tcPr>
            <w:tcW w:w="1294" w:type="dxa"/>
            <w:tcBorders>
              <w:top w:val="nil"/>
              <w:left w:val="nil"/>
              <w:bottom w:val="single" w:sz="4" w:space="0" w:color="auto"/>
              <w:right w:val="single" w:sz="4" w:space="0" w:color="auto"/>
            </w:tcBorders>
            <w:shd w:val="clear" w:color="auto" w:fill="auto"/>
            <w:noWrap/>
            <w:vAlign w:val="center"/>
            <w:hideMark/>
          </w:tcPr>
          <w:p w14:paraId="30B5C434"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66</w:t>
            </w:r>
          </w:p>
        </w:tc>
        <w:tc>
          <w:tcPr>
            <w:tcW w:w="1295" w:type="dxa"/>
            <w:tcBorders>
              <w:top w:val="nil"/>
              <w:left w:val="nil"/>
              <w:bottom w:val="single" w:sz="4" w:space="0" w:color="auto"/>
              <w:right w:val="single" w:sz="4" w:space="0" w:color="auto"/>
            </w:tcBorders>
            <w:shd w:val="clear" w:color="auto" w:fill="auto"/>
            <w:noWrap/>
            <w:vAlign w:val="center"/>
            <w:hideMark/>
          </w:tcPr>
          <w:p w14:paraId="4834C97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89</w:t>
            </w:r>
          </w:p>
        </w:tc>
        <w:tc>
          <w:tcPr>
            <w:tcW w:w="1295" w:type="dxa"/>
            <w:tcBorders>
              <w:top w:val="nil"/>
              <w:left w:val="nil"/>
              <w:bottom w:val="single" w:sz="4" w:space="0" w:color="auto"/>
              <w:right w:val="single" w:sz="8" w:space="0" w:color="auto"/>
            </w:tcBorders>
            <w:shd w:val="clear" w:color="auto" w:fill="auto"/>
            <w:noWrap/>
            <w:vAlign w:val="center"/>
            <w:hideMark/>
          </w:tcPr>
          <w:p w14:paraId="2C20E9FD"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102</w:t>
            </w:r>
          </w:p>
        </w:tc>
      </w:tr>
    </w:tbl>
    <w:p w14:paraId="4DD8A5E3" w14:textId="77777777" w:rsidR="00772287" w:rsidRPr="002340FA" w:rsidRDefault="00772287" w:rsidP="00772287">
      <w:pPr>
        <w:spacing w:after="180" w:line="300" w:lineRule="exact"/>
        <w:jc w:val="both"/>
        <w:rPr>
          <w:rFonts w:ascii="Times New Roman" w:hAnsi="Times New Roman" w:cs="Times New Roman"/>
          <w:b/>
          <w:bCs/>
          <w:sz w:val="24"/>
          <w:szCs w:val="24"/>
        </w:rPr>
      </w:pPr>
    </w:p>
    <w:p w14:paraId="0B60DD18"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2019 yılında 100 endeks değerine sahip olan dönem sonu stoklar 2020’de 69, 2021’de 66 seviyesine düştükten sonra 2022’de 89, 2023’de 102 seviyesine yükselmiştir.</w:t>
      </w:r>
    </w:p>
    <w:p w14:paraId="1E0E9D37"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4.7 İstihdam</w:t>
      </w:r>
    </w:p>
    <w:tbl>
      <w:tblPr>
        <w:tblW w:w="9062" w:type="dxa"/>
        <w:tblLayout w:type="fixed"/>
        <w:tblCellMar>
          <w:left w:w="70" w:type="dxa"/>
          <w:right w:w="70" w:type="dxa"/>
        </w:tblCellMar>
        <w:tblLook w:val="04A0" w:firstRow="1" w:lastRow="0" w:firstColumn="1" w:lastColumn="0" w:noHBand="0" w:noVBand="1"/>
      </w:tblPr>
      <w:tblGrid>
        <w:gridCol w:w="1294"/>
        <w:gridCol w:w="1295"/>
        <w:gridCol w:w="1294"/>
        <w:gridCol w:w="1295"/>
        <w:gridCol w:w="1294"/>
        <w:gridCol w:w="1295"/>
        <w:gridCol w:w="1295"/>
      </w:tblGrid>
      <w:tr w:rsidR="00772287" w:rsidRPr="002340FA" w14:paraId="7CBFD1AB" w14:textId="77777777" w:rsidTr="00D0295E">
        <w:trPr>
          <w:trHeight w:val="315"/>
        </w:trPr>
        <w:tc>
          <w:tcPr>
            <w:tcW w:w="1294"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1B20300"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İstihdam</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1529DD6F"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Birim</w:t>
            </w:r>
          </w:p>
        </w:tc>
        <w:tc>
          <w:tcPr>
            <w:tcW w:w="1294" w:type="dxa"/>
            <w:tcBorders>
              <w:top w:val="single" w:sz="8" w:space="0" w:color="auto"/>
              <w:left w:val="nil"/>
              <w:bottom w:val="single" w:sz="4" w:space="0" w:color="auto"/>
              <w:right w:val="single" w:sz="4" w:space="0" w:color="auto"/>
            </w:tcBorders>
            <w:shd w:val="clear" w:color="auto" w:fill="auto"/>
            <w:vAlign w:val="center"/>
            <w:hideMark/>
          </w:tcPr>
          <w:p w14:paraId="0220BB47"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2019</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3CBD3F00"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shd w:val="clear" w:color="auto" w:fill="auto"/>
            <w:vAlign w:val="center"/>
            <w:hideMark/>
          </w:tcPr>
          <w:p w14:paraId="4326C349"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411EA1A9"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2022</w:t>
            </w:r>
          </w:p>
        </w:tc>
        <w:tc>
          <w:tcPr>
            <w:tcW w:w="1295" w:type="dxa"/>
            <w:tcBorders>
              <w:top w:val="single" w:sz="8" w:space="0" w:color="auto"/>
              <w:left w:val="nil"/>
              <w:bottom w:val="single" w:sz="4" w:space="0" w:color="auto"/>
              <w:right w:val="single" w:sz="8" w:space="0" w:color="auto"/>
            </w:tcBorders>
            <w:shd w:val="clear" w:color="auto" w:fill="auto"/>
            <w:vAlign w:val="center"/>
            <w:hideMark/>
          </w:tcPr>
          <w:p w14:paraId="4F2C9793"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2023</w:t>
            </w:r>
          </w:p>
        </w:tc>
      </w:tr>
      <w:tr w:rsidR="00772287" w:rsidRPr="002340FA" w14:paraId="54CB3198" w14:textId="77777777" w:rsidTr="00D0295E">
        <w:trPr>
          <w:trHeight w:val="315"/>
        </w:trPr>
        <w:tc>
          <w:tcPr>
            <w:tcW w:w="1294" w:type="dxa"/>
            <w:tcBorders>
              <w:top w:val="nil"/>
              <w:left w:val="single" w:sz="8" w:space="0" w:color="auto"/>
              <w:bottom w:val="single" w:sz="4" w:space="0" w:color="auto"/>
              <w:right w:val="single" w:sz="4" w:space="0" w:color="auto"/>
            </w:tcBorders>
            <w:shd w:val="clear" w:color="auto" w:fill="auto"/>
            <w:noWrap/>
            <w:vAlign w:val="center"/>
            <w:hideMark/>
          </w:tcPr>
          <w:p w14:paraId="65DB8335"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 xml:space="preserve">Direkt İşçi Sayısı </w:t>
            </w:r>
          </w:p>
        </w:tc>
        <w:tc>
          <w:tcPr>
            <w:tcW w:w="1295" w:type="dxa"/>
            <w:tcBorders>
              <w:top w:val="nil"/>
              <w:left w:val="nil"/>
              <w:bottom w:val="single" w:sz="4" w:space="0" w:color="auto"/>
              <w:right w:val="single" w:sz="4" w:space="0" w:color="auto"/>
            </w:tcBorders>
            <w:shd w:val="clear" w:color="auto" w:fill="auto"/>
            <w:noWrap/>
            <w:vAlign w:val="center"/>
            <w:hideMark/>
          </w:tcPr>
          <w:p w14:paraId="31456C49"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294" w:type="dxa"/>
            <w:tcBorders>
              <w:top w:val="nil"/>
              <w:left w:val="nil"/>
              <w:bottom w:val="single" w:sz="4" w:space="0" w:color="auto"/>
              <w:right w:val="single" w:sz="4" w:space="0" w:color="auto"/>
            </w:tcBorders>
            <w:shd w:val="clear" w:color="auto" w:fill="auto"/>
            <w:noWrap/>
            <w:vAlign w:val="center"/>
            <w:hideMark/>
          </w:tcPr>
          <w:p w14:paraId="4F57F2CD"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295" w:type="dxa"/>
            <w:tcBorders>
              <w:top w:val="nil"/>
              <w:left w:val="nil"/>
              <w:bottom w:val="single" w:sz="4" w:space="0" w:color="auto"/>
              <w:right w:val="single" w:sz="4" w:space="0" w:color="auto"/>
            </w:tcBorders>
            <w:shd w:val="clear" w:color="auto" w:fill="auto"/>
            <w:noWrap/>
            <w:vAlign w:val="center"/>
            <w:hideMark/>
          </w:tcPr>
          <w:p w14:paraId="7C0A8AD8"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106</w:t>
            </w:r>
          </w:p>
        </w:tc>
        <w:tc>
          <w:tcPr>
            <w:tcW w:w="1294" w:type="dxa"/>
            <w:tcBorders>
              <w:top w:val="nil"/>
              <w:left w:val="nil"/>
              <w:bottom w:val="single" w:sz="4" w:space="0" w:color="auto"/>
              <w:right w:val="single" w:sz="4" w:space="0" w:color="auto"/>
            </w:tcBorders>
            <w:shd w:val="clear" w:color="auto" w:fill="auto"/>
            <w:noWrap/>
            <w:vAlign w:val="center"/>
            <w:hideMark/>
          </w:tcPr>
          <w:p w14:paraId="3B7D81A5"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108</w:t>
            </w:r>
          </w:p>
        </w:tc>
        <w:tc>
          <w:tcPr>
            <w:tcW w:w="1295" w:type="dxa"/>
            <w:tcBorders>
              <w:top w:val="nil"/>
              <w:left w:val="nil"/>
              <w:bottom w:val="single" w:sz="4" w:space="0" w:color="auto"/>
              <w:right w:val="single" w:sz="4" w:space="0" w:color="auto"/>
            </w:tcBorders>
            <w:shd w:val="clear" w:color="auto" w:fill="auto"/>
            <w:noWrap/>
            <w:vAlign w:val="center"/>
            <w:hideMark/>
          </w:tcPr>
          <w:p w14:paraId="58E37679"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112</w:t>
            </w:r>
          </w:p>
        </w:tc>
        <w:tc>
          <w:tcPr>
            <w:tcW w:w="1295" w:type="dxa"/>
            <w:tcBorders>
              <w:top w:val="nil"/>
              <w:left w:val="nil"/>
              <w:bottom w:val="single" w:sz="4" w:space="0" w:color="auto"/>
              <w:right w:val="single" w:sz="8" w:space="0" w:color="auto"/>
            </w:tcBorders>
            <w:shd w:val="clear" w:color="auto" w:fill="auto"/>
            <w:noWrap/>
            <w:vAlign w:val="center"/>
            <w:hideMark/>
          </w:tcPr>
          <w:p w14:paraId="2944F080"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122</w:t>
            </w:r>
          </w:p>
        </w:tc>
      </w:tr>
    </w:tbl>
    <w:p w14:paraId="123A7EEB"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lastRenderedPageBreak/>
        <w:t>İstihdam soruşturma dönemi boyunca sürekli artış göstermiş olup 2023 yılında bir önceki yıla göre 122 seviyesine ulaşmıştır.</w:t>
      </w:r>
    </w:p>
    <w:p w14:paraId="6923CA05"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4.8 Verimlilik</w:t>
      </w:r>
    </w:p>
    <w:tbl>
      <w:tblPr>
        <w:tblW w:w="9062" w:type="dxa"/>
        <w:tblCellMar>
          <w:left w:w="70" w:type="dxa"/>
          <w:right w:w="70" w:type="dxa"/>
        </w:tblCellMar>
        <w:tblLook w:val="04A0" w:firstRow="1" w:lastRow="0" w:firstColumn="1" w:lastColumn="0" w:noHBand="0" w:noVBand="1"/>
      </w:tblPr>
      <w:tblGrid>
        <w:gridCol w:w="1047"/>
        <w:gridCol w:w="873"/>
        <w:gridCol w:w="1472"/>
        <w:gridCol w:w="1701"/>
        <w:gridCol w:w="1418"/>
        <w:gridCol w:w="1134"/>
        <w:gridCol w:w="1417"/>
      </w:tblGrid>
      <w:tr w:rsidR="00772287" w:rsidRPr="002340FA" w14:paraId="2F839C5F" w14:textId="77777777" w:rsidTr="00D0295E">
        <w:trPr>
          <w:trHeight w:val="320"/>
        </w:trPr>
        <w:tc>
          <w:tcPr>
            <w:tcW w:w="1920" w:type="dxa"/>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D0A1B0E"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Verimlilik</w:t>
            </w:r>
          </w:p>
        </w:tc>
        <w:tc>
          <w:tcPr>
            <w:tcW w:w="1472" w:type="dxa"/>
            <w:tcBorders>
              <w:top w:val="single" w:sz="8" w:space="0" w:color="auto"/>
              <w:left w:val="nil"/>
              <w:bottom w:val="single" w:sz="4" w:space="0" w:color="auto"/>
              <w:right w:val="single" w:sz="4" w:space="0" w:color="auto"/>
            </w:tcBorders>
            <w:shd w:val="clear" w:color="auto" w:fill="auto"/>
            <w:vAlign w:val="center"/>
            <w:hideMark/>
          </w:tcPr>
          <w:p w14:paraId="27BC9784"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2019</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14:paraId="090D7BF9"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2020</w:t>
            </w:r>
          </w:p>
        </w:tc>
        <w:tc>
          <w:tcPr>
            <w:tcW w:w="1418" w:type="dxa"/>
            <w:tcBorders>
              <w:top w:val="single" w:sz="8" w:space="0" w:color="auto"/>
              <w:left w:val="nil"/>
              <w:bottom w:val="single" w:sz="4" w:space="0" w:color="auto"/>
              <w:right w:val="single" w:sz="4" w:space="0" w:color="auto"/>
            </w:tcBorders>
            <w:shd w:val="clear" w:color="auto" w:fill="auto"/>
            <w:vAlign w:val="center"/>
            <w:hideMark/>
          </w:tcPr>
          <w:p w14:paraId="6559AAD7"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2021</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14:paraId="3BFBDA77"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2022</w:t>
            </w:r>
          </w:p>
        </w:tc>
        <w:tc>
          <w:tcPr>
            <w:tcW w:w="1417" w:type="dxa"/>
            <w:tcBorders>
              <w:top w:val="single" w:sz="8" w:space="0" w:color="auto"/>
              <w:left w:val="nil"/>
              <w:bottom w:val="single" w:sz="4" w:space="0" w:color="auto"/>
              <w:right w:val="single" w:sz="8" w:space="0" w:color="auto"/>
            </w:tcBorders>
            <w:shd w:val="clear" w:color="auto" w:fill="auto"/>
            <w:vAlign w:val="center"/>
            <w:hideMark/>
          </w:tcPr>
          <w:p w14:paraId="47F8D156"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2023</w:t>
            </w:r>
          </w:p>
        </w:tc>
      </w:tr>
      <w:tr w:rsidR="00772287" w:rsidRPr="002340FA" w14:paraId="17859886" w14:textId="77777777" w:rsidTr="00D0295E">
        <w:trPr>
          <w:trHeight w:val="320"/>
        </w:trPr>
        <w:tc>
          <w:tcPr>
            <w:tcW w:w="1047" w:type="dxa"/>
            <w:tcBorders>
              <w:top w:val="nil"/>
              <w:left w:val="single" w:sz="8" w:space="0" w:color="auto"/>
              <w:bottom w:val="single" w:sz="4" w:space="0" w:color="auto"/>
              <w:right w:val="single" w:sz="4" w:space="0" w:color="auto"/>
            </w:tcBorders>
            <w:shd w:val="clear" w:color="auto" w:fill="auto"/>
            <w:noWrap/>
            <w:vAlign w:val="center"/>
            <w:hideMark/>
          </w:tcPr>
          <w:p w14:paraId="6712B0F7"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Ton/Kişi</w:t>
            </w:r>
          </w:p>
        </w:tc>
        <w:tc>
          <w:tcPr>
            <w:tcW w:w="873" w:type="dxa"/>
            <w:tcBorders>
              <w:top w:val="nil"/>
              <w:left w:val="nil"/>
              <w:bottom w:val="single" w:sz="4" w:space="0" w:color="auto"/>
              <w:right w:val="single" w:sz="4" w:space="0" w:color="auto"/>
            </w:tcBorders>
            <w:shd w:val="clear" w:color="auto" w:fill="auto"/>
            <w:noWrap/>
            <w:vAlign w:val="center"/>
            <w:hideMark/>
          </w:tcPr>
          <w:p w14:paraId="531BE65F"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472" w:type="dxa"/>
            <w:tcBorders>
              <w:top w:val="nil"/>
              <w:left w:val="nil"/>
              <w:bottom w:val="single" w:sz="4" w:space="0" w:color="auto"/>
              <w:right w:val="single" w:sz="4" w:space="0" w:color="auto"/>
            </w:tcBorders>
            <w:shd w:val="clear" w:color="auto" w:fill="auto"/>
            <w:noWrap/>
            <w:vAlign w:val="center"/>
            <w:hideMark/>
          </w:tcPr>
          <w:p w14:paraId="7061A0E7"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701" w:type="dxa"/>
            <w:tcBorders>
              <w:top w:val="nil"/>
              <w:left w:val="nil"/>
              <w:bottom w:val="single" w:sz="4" w:space="0" w:color="auto"/>
              <w:right w:val="single" w:sz="4" w:space="0" w:color="auto"/>
            </w:tcBorders>
            <w:shd w:val="clear" w:color="auto" w:fill="auto"/>
            <w:noWrap/>
            <w:vAlign w:val="center"/>
            <w:hideMark/>
          </w:tcPr>
          <w:p w14:paraId="6C66A850"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105</w:t>
            </w:r>
          </w:p>
        </w:tc>
        <w:tc>
          <w:tcPr>
            <w:tcW w:w="1418" w:type="dxa"/>
            <w:tcBorders>
              <w:top w:val="nil"/>
              <w:left w:val="nil"/>
              <w:bottom w:val="single" w:sz="4" w:space="0" w:color="auto"/>
              <w:right w:val="single" w:sz="4" w:space="0" w:color="auto"/>
            </w:tcBorders>
            <w:shd w:val="clear" w:color="auto" w:fill="auto"/>
            <w:noWrap/>
            <w:vAlign w:val="center"/>
            <w:hideMark/>
          </w:tcPr>
          <w:p w14:paraId="39540291"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104</w:t>
            </w:r>
          </w:p>
        </w:tc>
        <w:tc>
          <w:tcPr>
            <w:tcW w:w="1134" w:type="dxa"/>
            <w:tcBorders>
              <w:top w:val="nil"/>
              <w:left w:val="nil"/>
              <w:bottom w:val="single" w:sz="4" w:space="0" w:color="auto"/>
              <w:right w:val="single" w:sz="4" w:space="0" w:color="auto"/>
            </w:tcBorders>
            <w:shd w:val="clear" w:color="auto" w:fill="auto"/>
            <w:noWrap/>
            <w:vAlign w:val="center"/>
            <w:hideMark/>
          </w:tcPr>
          <w:p w14:paraId="66F3581B"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91</w:t>
            </w:r>
          </w:p>
        </w:tc>
        <w:tc>
          <w:tcPr>
            <w:tcW w:w="1417" w:type="dxa"/>
            <w:tcBorders>
              <w:top w:val="nil"/>
              <w:left w:val="nil"/>
              <w:bottom w:val="single" w:sz="4" w:space="0" w:color="auto"/>
              <w:right w:val="single" w:sz="8" w:space="0" w:color="auto"/>
            </w:tcBorders>
            <w:shd w:val="clear" w:color="auto" w:fill="auto"/>
            <w:noWrap/>
            <w:vAlign w:val="center"/>
            <w:hideMark/>
          </w:tcPr>
          <w:p w14:paraId="2087DF13"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80</w:t>
            </w:r>
          </w:p>
        </w:tc>
      </w:tr>
    </w:tbl>
    <w:p w14:paraId="7B38FE21" w14:textId="77777777" w:rsidR="00772287" w:rsidRPr="002340FA" w:rsidRDefault="00772287" w:rsidP="00772287">
      <w:pPr>
        <w:spacing w:after="180" w:line="300" w:lineRule="exact"/>
        <w:jc w:val="both"/>
        <w:rPr>
          <w:rFonts w:ascii="Times New Roman" w:hAnsi="Times New Roman" w:cs="Times New Roman"/>
          <w:b/>
          <w:bCs/>
          <w:sz w:val="24"/>
          <w:szCs w:val="24"/>
        </w:rPr>
      </w:pPr>
    </w:p>
    <w:p w14:paraId="547A33B2"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İstihdam edilen kişi başına düşen üretim miktarı olarak hesaplanan verimlilik soruşturma dönemi boyunca 2020 yılı hariç düşüş göstermiş olup en yüksek seviyesine 2020 yılında ulaşmıştır.</w:t>
      </w:r>
    </w:p>
    <w:p w14:paraId="6F1E094E"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2019 yılında 100 endeks değerine sahip olan verimlilik, 2023’de %20 azalarak soruşturma döneminin en düşük seviyesi olan 80’e kadar gerilemiştir.</w:t>
      </w:r>
    </w:p>
    <w:p w14:paraId="6E57E6C6"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4.9 Karlılık</w:t>
      </w:r>
    </w:p>
    <w:tbl>
      <w:tblPr>
        <w:tblW w:w="9062" w:type="dxa"/>
        <w:tblLayout w:type="fixed"/>
        <w:tblCellMar>
          <w:left w:w="70" w:type="dxa"/>
          <w:right w:w="70" w:type="dxa"/>
        </w:tblCellMar>
        <w:tblLook w:val="04A0" w:firstRow="1" w:lastRow="0" w:firstColumn="1" w:lastColumn="0" w:noHBand="0" w:noVBand="1"/>
      </w:tblPr>
      <w:tblGrid>
        <w:gridCol w:w="1294"/>
        <w:gridCol w:w="1295"/>
        <w:gridCol w:w="1294"/>
        <w:gridCol w:w="1295"/>
        <w:gridCol w:w="1294"/>
        <w:gridCol w:w="1295"/>
        <w:gridCol w:w="1295"/>
      </w:tblGrid>
      <w:tr w:rsidR="00772287" w:rsidRPr="002340FA" w14:paraId="7C7B92C7" w14:textId="77777777" w:rsidTr="00D0295E">
        <w:trPr>
          <w:trHeight w:val="315"/>
        </w:trPr>
        <w:tc>
          <w:tcPr>
            <w:tcW w:w="1294"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D3D3A6F"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Karlılık</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70F77B94"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Birim</w:t>
            </w:r>
          </w:p>
        </w:tc>
        <w:tc>
          <w:tcPr>
            <w:tcW w:w="1294" w:type="dxa"/>
            <w:tcBorders>
              <w:top w:val="single" w:sz="8" w:space="0" w:color="auto"/>
              <w:left w:val="nil"/>
              <w:bottom w:val="single" w:sz="4" w:space="0" w:color="auto"/>
              <w:right w:val="single" w:sz="4" w:space="0" w:color="auto"/>
            </w:tcBorders>
            <w:shd w:val="clear" w:color="auto" w:fill="auto"/>
            <w:vAlign w:val="center"/>
            <w:hideMark/>
          </w:tcPr>
          <w:p w14:paraId="614CD300"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2019</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5B47991D"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shd w:val="clear" w:color="auto" w:fill="auto"/>
            <w:vAlign w:val="center"/>
            <w:hideMark/>
          </w:tcPr>
          <w:p w14:paraId="64C9DFE0"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shd w:val="clear" w:color="auto" w:fill="auto"/>
            <w:vAlign w:val="center"/>
            <w:hideMark/>
          </w:tcPr>
          <w:p w14:paraId="2F9E7542"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2022</w:t>
            </w:r>
          </w:p>
        </w:tc>
        <w:tc>
          <w:tcPr>
            <w:tcW w:w="1295" w:type="dxa"/>
            <w:tcBorders>
              <w:top w:val="single" w:sz="8" w:space="0" w:color="auto"/>
              <w:left w:val="nil"/>
              <w:bottom w:val="single" w:sz="4" w:space="0" w:color="auto"/>
              <w:right w:val="single" w:sz="8" w:space="0" w:color="auto"/>
            </w:tcBorders>
            <w:shd w:val="clear" w:color="auto" w:fill="auto"/>
            <w:vAlign w:val="center"/>
            <w:hideMark/>
          </w:tcPr>
          <w:p w14:paraId="6D05397E"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2023</w:t>
            </w:r>
          </w:p>
        </w:tc>
      </w:tr>
      <w:tr w:rsidR="00772287" w:rsidRPr="002340FA" w14:paraId="33E3D00D" w14:textId="77777777" w:rsidTr="00D0295E">
        <w:trPr>
          <w:trHeight w:val="315"/>
        </w:trPr>
        <w:tc>
          <w:tcPr>
            <w:tcW w:w="1294" w:type="dxa"/>
            <w:tcBorders>
              <w:top w:val="nil"/>
              <w:left w:val="single" w:sz="8" w:space="0" w:color="auto"/>
              <w:bottom w:val="single" w:sz="4" w:space="0" w:color="auto"/>
              <w:right w:val="single" w:sz="4" w:space="0" w:color="auto"/>
            </w:tcBorders>
            <w:shd w:val="clear" w:color="auto" w:fill="auto"/>
            <w:vAlign w:val="center"/>
            <w:hideMark/>
          </w:tcPr>
          <w:p w14:paraId="2BBACDD0"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Karlılık</w:t>
            </w:r>
          </w:p>
        </w:tc>
        <w:tc>
          <w:tcPr>
            <w:tcW w:w="1295" w:type="dxa"/>
            <w:tcBorders>
              <w:top w:val="nil"/>
              <w:left w:val="nil"/>
              <w:bottom w:val="single" w:sz="4" w:space="0" w:color="auto"/>
              <w:right w:val="single" w:sz="4" w:space="0" w:color="auto"/>
            </w:tcBorders>
            <w:shd w:val="clear" w:color="auto" w:fill="auto"/>
            <w:noWrap/>
            <w:vAlign w:val="center"/>
            <w:hideMark/>
          </w:tcPr>
          <w:p w14:paraId="38765F3B"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294" w:type="dxa"/>
            <w:tcBorders>
              <w:top w:val="nil"/>
              <w:left w:val="nil"/>
              <w:bottom w:val="single" w:sz="4" w:space="0" w:color="auto"/>
              <w:right w:val="single" w:sz="4" w:space="0" w:color="auto"/>
            </w:tcBorders>
            <w:shd w:val="clear" w:color="auto" w:fill="auto"/>
            <w:noWrap/>
            <w:vAlign w:val="center"/>
            <w:hideMark/>
          </w:tcPr>
          <w:p w14:paraId="30303CE4"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295" w:type="dxa"/>
            <w:tcBorders>
              <w:top w:val="nil"/>
              <w:left w:val="nil"/>
              <w:bottom w:val="single" w:sz="4" w:space="0" w:color="auto"/>
              <w:right w:val="single" w:sz="4" w:space="0" w:color="auto"/>
            </w:tcBorders>
            <w:shd w:val="clear" w:color="auto" w:fill="auto"/>
            <w:noWrap/>
            <w:vAlign w:val="center"/>
            <w:hideMark/>
          </w:tcPr>
          <w:p w14:paraId="459CC43B"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298</w:t>
            </w:r>
          </w:p>
        </w:tc>
        <w:tc>
          <w:tcPr>
            <w:tcW w:w="1294" w:type="dxa"/>
            <w:tcBorders>
              <w:top w:val="nil"/>
              <w:left w:val="nil"/>
              <w:bottom w:val="single" w:sz="4" w:space="0" w:color="auto"/>
              <w:right w:val="single" w:sz="4" w:space="0" w:color="auto"/>
            </w:tcBorders>
            <w:shd w:val="clear" w:color="auto" w:fill="auto"/>
            <w:noWrap/>
            <w:vAlign w:val="center"/>
            <w:hideMark/>
          </w:tcPr>
          <w:p w14:paraId="2A20D743"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704</w:t>
            </w:r>
          </w:p>
        </w:tc>
        <w:tc>
          <w:tcPr>
            <w:tcW w:w="1295" w:type="dxa"/>
            <w:tcBorders>
              <w:top w:val="nil"/>
              <w:left w:val="nil"/>
              <w:bottom w:val="single" w:sz="4" w:space="0" w:color="auto"/>
              <w:right w:val="single" w:sz="4" w:space="0" w:color="auto"/>
            </w:tcBorders>
            <w:shd w:val="clear" w:color="auto" w:fill="auto"/>
            <w:noWrap/>
            <w:vAlign w:val="center"/>
            <w:hideMark/>
          </w:tcPr>
          <w:p w14:paraId="48EEF849"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397</w:t>
            </w:r>
          </w:p>
        </w:tc>
        <w:tc>
          <w:tcPr>
            <w:tcW w:w="1295" w:type="dxa"/>
            <w:tcBorders>
              <w:top w:val="nil"/>
              <w:left w:val="nil"/>
              <w:bottom w:val="single" w:sz="4" w:space="0" w:color="auto"/>
              <w:right w:val="single" w:sz="8" w:space="0" w:color="auto"/>
            </w:tcBorders>
            <w:shd w:val="clear" w:color="auto" w:fill="auto"/>
            <w:noWrap/>
            <w:vAlign w:val="center"/>
            <w:hideMark/>
          </w:tcPr>
          <w:p w14:paraId="12B7E549"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-21</w:t>
            </w:r>
          </w:p>
        </w:tc>
      </w:tr>
    </w:tbl>
    <w:p w14:paraId="45B154D8" w14:textId="77777777" w:rsidR="00772287" w:rsidRPr="002340FA" w:rsidRDefault="00772287" w:rsidP="00772287">
      <w:pPr>
        <w:spacing w:after="180" w:line="300" w:lineRule="exact"/>
        <w:jc w:val="both"/>
        <w:rPr>
          <w:rFonts w:ascii="Times New Roman" w:hAnsi="Times New Roman" w:cs="Times New Roman"/>
          <w:b/>
          <w:bCs/>
          <w:sz w:val="24"/>
          <w:szCs w:val="24"/>
        </w:rPr>
      </w:pPr>
    </w:p>
    <w:p w14:paraId="3F10BF4E"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Soruşturma dönemi boyunca pozitif seyreden karlılık oranı 2021 yılından sonra meydana gelen karlılıktaki azalışa paralel olarak 2023 yılında negatife dönmüş, 2019 yılında 100 olan endeks değeri 2023’de -21 olarak gerçekleşmiş, zarar edilmiştir.</w:t>
      </w:r>
    </w:p>
    <w:p w14:paraId="0087EF34"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4.10 Yerli üretim dalının ekonomik göstergelerinin değerlendirilmesi</w:t>
      </w:r>
    </w:p>
    <w:tbl>
      <w:tblPr>
        <w:tblW w:w="9016" w:type="dxa"/>
        <w:tblCellMar>
          <w:left w:w="70" w:type="dxa"/>
          <w:right w:w="70" w:type="dxa"/>
        </w:tblCellMar>
        <w:tblLook w:val="04A0" w:firstRow="1" w:lastRow="0" w:firstColumn="1" w:lastColumn="0" w:noHBand="0" w:noVBand="1"/>
      </w:tblPr>
      <w:tblGrid>
        <w:gridCol w:w="2836"/>
        <w:gridCol w:w="880"/>
        <w:gridCol w:w="1060"/>
        <w:gridCol w:w="1060"/>
        <w:gridCol w:w="1060"/>
        <w:gridCol w:w="1060"/>
        <w:gridCol w:w="1060"/>
      </w:tblGrid>
      <w:tr w:rsidR="00772287" w:rsidRPr="002340FA" w14:paraId="7A9A61DB" w14:textId="77777777" w:rsidTr="00D0295E">
        <w:trPr>
          <w:trHeight w:val="315"/>
        </w:trPr>
        <w:tc>
          <w:tcPr>
            <w:tcW w:w="283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9F04586"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Ekonomik Göstergeler</w:t>
            </w:r>
          </w:p>
        </w:tc>
        <w:tc>
          <w:tcPr>
            <w:tcW w:w="880" w:type="dxa"/>
            <w:tcBorders>
              <w:top w:val="single" w:sz="8" w:space="0" w:color="auto"/>
              <w:left w:val="nil"/>
              <w:bottom w:val="single" w:sz="4" w:space="0" w:color="auto"/>
              <w:right w:val="single" w:sz="4" w:space="0" w:color="auto"/>
            </w:tcBorders>
            <w:shd w:val="clear" w:color="auto" w:fill="auto"/>
            <w:noWrap/>
            <w:vAlign w:val="center"/>
            <w:hideMark/>
          </w:tcPr>
          <w:p w14:paraId="11A82942"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Birim</w:t>
            </w:r>
          </w:p>
        </w:tc>
        <w:tc>
          <w:tcPr>
            <w:tcW w:w="1060" w:type="dxa"/>
            <w:tcBorders>
              <w:top w:val="single" w:sz="8" w:space="0" w:color="auto"/>
              <w:left w:val="nil"/>
              <w:bottom w:val="single" w:sz="4" w:space="0" w:color="auto"/>
              <w:right w:val="single" w:sz="4" w:space="0" w:color="auto"/>
            </w:tcBorders>
            <w:shd w:val="clear" w:color="auto" w:fill="auto"/>
            <w:noWrap/>
            <w:vAlign w:val="center"/>
            <w:hideMark/>
          </w:tcPr>
          <w:p w14:paraId="7B43867D"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2019</w:t>
            </w:r>
          </w:p>
        </w:tc>
        <w:tc>
          <w:tcPr>
            <w:tcW w:w="1060" w:type="dxa"/>
            <w:tcBorders>
              <w:top w:val="single" w:sz="8" w:space="0" w:color="auto"/>
              <w:left w:val="nil"/>
              <w:bottom w:val="single" w:sz="4" w:space="0" w:color="auto"/>
              <w:right w:val="single" w:sz="4" w:space="0" w:color="auto"/>
            </w:tcBorders>
            <w:shd w:val="clear" w:color="auto" w:fill="auto"/>
            <w:noWrap/>
            <w:vAlign w:val="center"/>
            <w:hideMark/>
          </w:tcPr>
          <w:p w14:paraId="688B6E7B"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2020</w:t>
            </w:r>
          </w:p>
        </w:tc>
        <w:tc>
          <w:tcPr>
            <w:tcW w:w="1060" w:type="dxa"/>
            <w:tcBorders>
              <w:top w:val="single" w:sz="8" w:space="0" w:color="auto"/>
              <w:left w:val="nil"/>
              <w:bottom w:val="single" w:sz="4" w:space="0" w:color="auto"/>
              <w:right w:val="single" w:sz="4" w:space="0" w:color="auto"/>
            </w:tcBorders>
            <w:shd w:val="clear" w:color="auto" w:fill="auto"/>
            <w:noWrap/>
            <w:vAlign w:val="center"/>
            <w:hideMark/>
          </w:tcPr>
          <w:p w14:paraId="481A554D"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2021</w:t>
            </w:r>
          </w:p>
        </w:tc>
        <w:tc>
          <w:tcPr>
            <w:tcW w:w="1060" w:type="dxa"/>
            <w:tcBorders>
              <w:top w:val="single" w:sz="8" w:space="0" w:color="auto"/>
              <w:left w:val="nil"/>
              <w:bottom w:val="single" w:sz="4" w:space="0" w:color="auto"/>
              <w:right w:val="single" w:sz="4" w:space="0" w:color="auto"/>
            </w:tcBorders>
            <w:shd w:val="clear" w:color="auto" w:fill="auto"/>
            <w:noWrap/>
            <w:vAlign w:val="center"/>
            <w:hideMark/>
          </w:tcPr>
          <w:p w14:paraId="3547450A"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2022</w:t>
            </w:r>
          </w:p>
        </w:tc>
        <w:tc>
          <w:tcPr>
            <w:tcW w:w="1060" w:type="dxa"/>
            <w:tcBorders>
              <w:top w:val="single" w:sz="8" w:space="0" w:color="auto"/>
              <w:left w:val="nil"/>
              <w:bottom w:val="single" w:sz="4" w:space="0" w:color="auto"/>
              <w:right w:val="single" w:sz="8" w:space="0" w:color="auto"/>
            </w:tcBorders>
            <w:shd w:val="clear" w:color="auto" w:fill="auto"/>
            <w:noWrap/>
            <w:vAlign w:val="center"/>
            <w:hideMark/>
          </w:tcPr>
          <w:p w14:paraId="0A3050DA"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24"/>
                <w:szCs w:val="24"/>
                <w:lang w:eastAsia="tr-TR"/>
              </w:rPr>
            </w:pPr>
            <w:r w:rsidRPr="002340FA">
              <w:rPr>
                <w:rFonts w:ascii="Times New Roman" w:eastAsia="Times New Roman" w:hAnsi="Times New Roman" w:cs="Times New Roman"/>
                <w:b/>
                <w:bCs/>
                <w:color w:val="000000"/>
                <w:sz w:val="24"/>
                <w:szCs w:val="24"/>
                <w:lang w:eastAsia="tr-TR"/>
              </w:rPr>
              <w:t>2023</w:t>
            </w:r>
          </w:p>
        </w:tc>
      </w:tr>
      <w:tr w:rsidR="00772287" w:rsidRPr="002340FA" w14:paraId="5CAB0F99" w14:textId="77777777" w:rsidTr="00D0295E">
        <w:trPr>
          <w:trHeight w:val="315"/>
        </w:trPr>
        <w:tc>
          <w:tcPr>
            <w:tcW w:w="2836" w:type="dxa"/>
            <w:tcBorders>
              <w:top w:val="nil"/>
              <w:left w:val="single" w:sz="8" w:space="0" w:color="auto"/>
              <w:bottom w:val="single" w:sz="4" w:space="0" w:color="auto"/>
              <w:right w:val="single" w:sz="4" w:space="0" w:color="auto"/>
            </w:tcBorders>
            <w:shd w:val="clear" w:color="auto" w:fill="auto"/>
            <w:noWrap/>
            <w:vAlign w:val="center"/>
            <w:hideMark/>
          </w:tcPr>
          <w:p w14:paraId="0FA90446"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İthalat</w:t>
            </w:r>
          </w:p>
        </w:tc>
        <w:tc>
          <w:tcPr>
            <w:tcW w:w="880" w:type="dxa"/>
            <w:tcBorders>
              <w:top w:val="nil"/>
              <w:left w:val="nil"/>
              <w:bottom w:val="single" w:sz="4" w:space="0" w:color="auto"/>
              <w:right w:val="single" w:sz="4" w:space="0" w:color="auto"/>
            </w:tcBorders>
            <w:shd w:val="clear" w:color="auto" w:fill="auto"/>
            <w:noWrap/>
            <w:vAlign w:val="center"/>
            <w:hideMark/>
          </w:tcPr>
          <w:p w14:paraId="6215B2B1"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Ton</w:t>
            </w:r>
          </w:p>
        </w:tc>
        <w:tc>
          <w:tcPr>
            <w:tcW w:w="1060" w:type="dxa"/>
            <w:tcBorders>
              <w:top w:val="nil"/>
              <w:left w:val="nil"/>
              <w:bottom w:val="single" w:sz="4" w:space="0" w:color="auto"/>
              <w:right w:val="single" w:sz="4" w:space="0" w:color="auto"/>
            </w:tcBorders>
            <w:shd w:val="clear" w:color="auto" w:fill="auto"/>
            <w:noWrap/>
            <w:vAlign w:val="center"/>
            <w:hideMark/>
          </w:tcPr>
          <w:p w14:paraId="75751227"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166.403</w:t>
            </w:r>
          </w:p>
        </w:tc>
        <w:tc>
          <w:tcPr>
            <w:tcW w:w="1060" w:type="dxa"/>
            <w:tcBorders>
              <w:top w:val="nil"/>
              <w:left w:val="nil"/>
              <w:bottom w:val="single" w:sz="4" w:space="0" w:color="auto"/>
              <w:right w:val="single" w:sz="4" w:space="0" w:color="auto"/>
            </w:tcBorders>
            <w:shd w:val="clear" w:color="auto" w:fill="auto"/>
            <w:noWrap/>
            <w:vAlign w:val="center"/>
            <w:hideMark/>
          </w:tcPr>
          <w:p w14:paraId="27466AEA"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190.584</w:t>
            </w:r>
          </w:p>
        </w:tc>
        <w:tc>
          <w:tcPr>
            <w:tcW w:w="1060" w:type="dxa"/>
            <w:tcBorders>
              <w:top w:val="nil"/>
              <w:left w:val="nil"/>
              <w:bottom w:val="single" w:sz="4" w:space="0" w:color="auto"/>
              <w:right w:val="single" w:sz="4" w:space="0" w:color="auto"/>
            </w:tcBorders>
            <w:shd w:val="clear" w:color="auto" w:fill="auto"/>
            <w:noWrap/>
            <w:vAlign w:val="center"/>
            <w:hideMark/>
          </w:tcPr>
          <w:p w14:paraId="53805984"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233.802</w:t>
            </w:r>
          </w:p>
        </w:tc>
        <w:tc>
          <w:tcPr>
            <w:tcW w:w="1060" w:type="dxa"/>
            <w:tcBorders>
              <w:top w:val="nil"/>
              <w:left w:val="nil"/>
              <w:bottom w:val="single" w:sz="4" w:space="0" w:color="auto"/>
              <w:right w:val="single" w:sz="4" w:space="0" w:color="auto"/>
            </w:tcBorders>
            <w:shd w:val="clear" w:color="auto" w:fill="auto"/>
            <w:noWrap/>
            <w:vAlign w:val="center"/>
            <w:hideMark/>
          </w:tcPr>
          <w:p w14:paraId="7DF6F3DE"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248.068</w:t>
            </w:r>
          </w:p>
        </w:tc>
        <w:tc>
          <w:tcPr>
            <w:tcW w:w="1060" w:type="dxa"/>
            <w:tcBorders>
              <w:top w:val="nil"/>
              <w:left w:val="nil"/>
              <w:bottom w:val="single" w:sz="4" w:space="0" w:color="auto"/>
              <w:right w:val="single" w:sz="8" w:space="0" w:color="auto"/>
            </w:tcBorders>
            <w:shd w:val="clear" w:color="auto" w:fill="auto"/>
            <w:noWrap/>
            <w:vAlign w:val="center"/>
            <w:hideMark/>
          </w:tcPr>
          <w:p w14:paraId="05F68077"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340.265</w:t>
            </w:r>
          </w:p>
        </w:tc>
      </w:tr>
      <w:tr w:rsidR="00772287" w:rsidRPr="002340FA" w14:paraId="38438BA8" w14:textId="77777777" w:rsidTr="00D0295E">
        <w:trPr>
          <w:trHeight w:val="315"/>
        </w:trPr>
        <w:tc>
          <w:tcPr>
            <w:tcW w:w="2836" w:type="dxa"/>
            <w:tcBorders>
              <w:top w:val="nil"/>
              <w:left w:val="single" w:sz="8" w:space="0" w:color="auto"/>
              <w:bottom w:val="single" w:sz="4" w:space="0" w:color="auto"/>
              <w:right w:val="single" w:sz="4" w:space="0" w:color="auto"/>
            </w:tcBorders>
            <w:shd w:val="clear" w:color="auto" w:fill="auto"/>
            <w:noWrap/>
            <w:vAlign w:val="center"/>
            <w:hideMark/>
          </w:tcPr>
          <w:p w14:paraId="29824D88"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Tüketim</w:t>
            </w:r>
          </w:p>
        </w:tc>
        <w:tc>
          <w:tcPr>
            <w:tcW w:w="880" w:type="dxa"/>
            <w:tcBorders>
              <w:top w:val="nil"/>
              <w:left w:val="nil"/>
              <w:bottom w:val="single" w:sz="4" w:space="0" w:color="auto"/>
              <w:right w:val="single" w:sz="4" w:space="0" w:color="auto"/>
            </w:tcBorders>
            <w:shd w:val="clear" w:color="auto" w:fill="auto"/>
            <w:noWrap/>
            <w:vAlign w:val="center"/>
            <w:hideMark/>
          </w:tcPr>
          <w:p w14:paraId="06E511EF"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060" w:type="dxa"/>
            <w:tcBorders>
              <w:top w:val="nil"/>
              <w:left w:val="nil"/>
              <w:bottom w:val="single" w:sz="4" w:space="0" w:color="auto"/>
              <w:right w:val="single" w:sz="4" w:space="0" w:color="auto"/>
            </w:tcBorders>
            <w:shd w:val="clear" w:color="auto" w:fill="auto"/>
            <w:noWrap/>
            <w:vAlign w:val="center"/>
            <w:hideMark/>
          </w:tcPr>
          <w:p w14:paraId="1CEDA1CB"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shd w:val="clear" w:color="auto" w:fill="auto"/>
            <w:noWrap/>
            <w:vAlign w:val="center"/>
            <w:hideMark/>
          </w:tcPr>
          <w:p w14:paraId="6364A36A"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115</w:t>
            </w:r>
          </w:p>
        </w:tc>
        <w:tc>
          <w:tcPr>
            <w:tcW w:w="1060" w:type="dxa"/>
            <w:tcBorders>
              <w:top w:val="nil"/>
              <w:left w:val="nil"/>
              <w:bottom w:val="single" w:sz="4" w:space="0" w:color="auto"/>
              <w:right w:val="single" w:sz="4" w:space="0" w:color="auto"/>
            </w:tcBorders>
            <w:shd w:val="clear" w:color="auto" w:fill="auto"/>
            <w:noWrap/>
            <w:vAlign w:val="center"/>
            <w:hideMark/>
          </w:tcPr>
          <w:p w14:paraId="26DDFBF7"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122</w:t>
            </w:r>
          </w:p>
        </w:tc>
        <w:tc>
          <w:tcPr>
            <w:tcW w:w="1060" w:type="dxa"/>
            <w:tcBorders>
              <w:top w:val="nil"/>
              <w:left w:val="nil"/>
              <w:bottom w:val="single" w:sz="4" w:space="0" w:color="auto"/>
              <w:right w:val="single" w:sz="4" w:space="0" w:color="auto"/>
            </w:tcBorders>
            <w:shd w:val="clear" w:color="auto" w:fill="auto"/>
            <w:noWrap/>
            <w:vAlign w:val="center"/>
            <w:hideMark/>
          </w:tcPr>
          <w:p w14:paraId="2D18002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105</w:t>
            </w:r>
          </w:p>
        </w:tc>
        <w:tc>
          <w:tcPr>
            <w:tcW w:w="1060" w:type="dxa"/>
            <w:tcBorders>
              <w:top w:val="nil"/>
              <w:left w:val="nil"/>
              <w:bottom w:val="single" w:sz="4" w:space="0" w:color="auto"/>
              <w:right w:val="single" w:sz="8" w:space="0" w:color="auto"/>
            </w:tcBorders>
            <w:shd w:val="clear" w:color="auto" w:fill="auto"/>
            <w:noWrap/>
            <w:vAlign w:val="center"/>
            <w:hideMark/>
          </w:tcPr>
          <w:p w14:paraId="0CC9E42F"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111</w:t>
            </w:r>
          </w:p>
        </w:tc>
      </w:tr>
      <w:tr w:rsidR="00772287" w:rsidRPr="002340FA" w14:paraId="1C2561A5" w14:textId="77777777" w:rsidTr="00D0295E">
        <w:trPr>
          <w:trHeight w:val="315"/>
        </w:trPr>
        <w:tc>
          <w:tcPr>
            <w:tcW w:w="2836" w:type="dxa"/>
            <w:tcBorders>
              <w:top w:val="nil"/>
              <w:left w:val="single" w:sz="8" w:space="0" w:color="auto"/>
              <w:bottom w:val="single" w:sz="4" w:space="0" w:color="auto"/>
              <w:right w:val="single" w:sz="4" w:space="0" w:color="auto"/>
            </w:tcBorders>
            <w:shd w:val="clear" w:color="auto" w:fill="auto"/>
            <w:noWrap/>
            <w:vAlign w:val="center"/>
            <w:hideMark/>
          </w:tcPr>
          <w:p w14:paraId="125188CC"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Üretim</w:t>
            </w:r>
          </w:p>
        </w:tc>
        <w:tc>
          <w:tcPr>
            <w:tcW w:w="880" w:type="dxa"/>
            <w:tcBorders>
              <w:top w:val="nil"/>
              <w:left w:val="nil"/>
              <w:bottom w:val="single" w:sz="4" w:space="0" w:color="auto"/>
              <w:right w:val="single" w:sz="4" w:space="0" w:color="auto"/>
            </w:tcBorders>
            <w:shd w:val="clear" w:color="auto" w:fill="auto"/>
            <w:noWrap/>
            <w:vAlign w:val="center"/>
            <w:hideMark/>
          </w:tcPr>
          <w:p w14:paraId="5CF9A8A3"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060" w:type="dxa"/>
            <w:tcBorders>
              <w:top w:val="nil"/>
              <w:left w:val="nil"/>
              <w:bottom w:val="single" w:sz="4" w:space="0" w:color="auto"/>
              <w:right w:val="single" w:sz="4" w:space="0" w:color="auto"/>
            </w:tcBorders>
            <w:shd w:val="clear" w:color="auto" w:fill="auto"/>
            <w:noWrap/>
            <w:vAlign w:val="center"/>
            <w:hideMark/>
          </w:tcPr>
          <w:p w14:paraId="70C76DB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shd w:val="clear" w:color="auto" w:fill="auto"/>
            <w:noWrap/>
            <w:vAlign w:val="center"/>
            <w:hideMark/>
          </w:tcPr>
          <w:p w14:paraId="2DC848DD"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112</w:t>
            </w:r>
          </w:p>
        </w:tc>
        <w:tc>
          <w:tcPr>
            <w:tcW w:w="1060" w:type="dxa"/>
            <w:tcBorders>
              <w:top w:val="nil"/>
              <w:left w:val="nil"/>
              <w:bottom w:val="single" w:sz="4" w:space="0" w:color="auto"/>
              <w:right w:val="single" w:sz="4" w:space="0" w:color="auto"/>
            </w:tcBorders>
            <w:shd w:val="clear" w:color="auto" w:fill="auto"/>
            <w:noWrap/>
            <w:vAlign w:val="center"/>
            <w:hideMark/>
          </w:tcPr>
          <w:p w14:paraId="77A02238"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112</w:t>
            </w:r>
          </w:p>
        </w:tc>
        <w:tc>
          <w:tcPr>
            <w:tcW w:w="1060" w:type="dxa"/>
            <w:tcBorders>
              <w:top w:val="nil"/>
              <w:left w:val="nil"/>
              <w:bottom w:val="single" w:sz="4" w:space="0" w:color="auto"/>
              <w:right w:val="single" w:sz="4" w:space="0" w:color="auto"/>
            </w:tcBorders>
            <w:shd w:val="clear" w:color="auto" w:fill="auto"/>
            <w:noWrap/>
            <w:vAlign w:val="center"/>
            <w:hideMark/>
          </w:tcPr>
          <w:p w14:paraId="554DB9AD"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102</w:t>
            </w:r>
          </w:p>
        </w:tc>
        <w:tc>
          <w:tcPr>
            <w:tcW w:w="1060" w:type="dxa"/>
            <w:tcBorders>
              <w:top w:val="nil"/>
              <w:left w:val="nil"/>
              <w:bottom w:val="single" w:sz="4" w:space="0" w:color="auto"/>
              <w:right w:val="single" w:sz="8" w:space="0" w:color="auto"/>
            </w:tcBorders>
            <w:shd w:val="clear" w:color="auto" w:fill="auto"/>
            <w:noWrap/>
            <w:vAlign w:val="center"/>
            <w:hideMark/>
          </w:tcPr>
          <w:p w14:paraId="21D8FB17"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97</w:t>
            </w:r>
          </w:p>
        </w:tc>
      </w:tr>
      <w:tr w:rsidR="00772287" w:rsidRPr="002340FA" w14:paraId="303355D0" w14:textId="77777777" w:rsidTr="00D0295E">
        <w:trPr>
          <w:trHeight w:val="315"/>
        </w:trPr>
        <w:tc>
          <w:tcPr>
            <w:tcW w:w="2836" w:type="dxa"/>
            <w:tcBorders>
              <w:top w:val="nil"/>
              <w:left w:val="single" w:sz="8" w:space="0" w:color="auto"/>
              <w:bottom w:val="single" w:sz="4" w:space="0" w:color="auto"/>
              <w:right w:val="single" w:sz="4" w:space="0" w:color="auto"/>
            </w:tcBorders>
            <w:shd w:val="clear" w:color="auto" w:fill="auto"/>
            <w:noWrap/>
            <w:vAlign w:val="center"/>
            <w:hideMark/>
          </w:tcPr>
          <w:p w14:paraId="611FCAEF"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İthalatın Yerli Üretime Oranı</w:t>
            </w:r>
          </w:p>
        </w:tc>
        <w:tc>
          <w:tcPr>
            <w:tcW w:w="880" w:type="dxa"/>
            <w:tcBorders>
              <w:top w:val="nil"/>
              <w:left w:val="nil"/>
              <w:bottom w:val="single" w:sz="4" w:space="0" w:color="auto"/>
              <w:right w:val="single" w:sz="4" w:space="0" w:color="auto"/>
            </w:tcBorders>
            <w:shd w:val="clear" w:color="auto" w:fill="auto"/>
            <w:noWrap/>
            <w:vAlign w:val="center"/>
            <w:hideMark/>
          </w:tcPr>
          <w:p w14:paraId="1BB9246B"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060" w:type="dxa"/>
            <w:tcBorders>
              <w:top w:val="nil"/>
              <w:left w:val="nil"/>
              <w:bottom w:val="single" w:sz="4" w:space="0" w:color="auto"/>
              <w:right w:val="single" w:sz="4" w:space="0" w:color="auto"/>
            </w:tcBorders>
            <w:shd w:val="clear" w:color="auto" w:fill="auto"/>
            <w:noWrap/>
            <w:vAlign w:val="center"/>
            <w:hideMark/>
          </w:tcPr>
          <w:p w14:paraId="28B6DE6F"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shd w:val="clear" w:color="auto" w:fill="auto"/>
            <w:noWrap/>
            <w:vAlign w:val="center"/>
            <w:hideMark/>
          </w:tcPr>
          <w:p w14:paraId="0A801FB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102</w:t>
            </w:r>
          </w:p>
        </w:tc>
        <w:tc>
          <w:tcPr>
            <w:tcW w:w="1060" w:type="dxa"/>
            <w:tcBorders>
              <w:top w:val="nil"/>
              <w:left w:val="nil"/>
              <w:bottom w:val="single" w:sz="4" w:space="0" w:color="auto"/>
              <w:right w:val="single" w:sz="4" w:space="0" w:color="auto"/>
            </w:tcBorders>
            <w:shd w:val="clear" w:color="auto" w:fill="auto"/>
            <w:noWrap/>
            <w:vAlign w:val="center"/>
            <w:hideMark/>
          </w:tcPr>
          <w:p w14:paraId="704C9B3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125</w:t>
            </w:r>
          </w:p>
        </w:tc>
        <w:tc>
          <w:tcPr>
            <w:tcW w:w="1060" w:type="dxa"/>
            <w:tcBorders>
              <w:top w:val="nil"/>
              <w:left w:val="nil"/>
              <w:bottom w:val="single" w:sz="4" w:space="0" w:color="auto"/>
              <w:right w:val="single" w:sz="4" w:space="0" w:color="auto"/>
            </w:tcBorders>
            <w:shd w:val="clear" w:color="auto" w:fill="auto"/>
            <w:noWrap/>
            <w:vAlign w:val="center"/>
            <w:hideMark/>
          </w:tcPr>
          <w:p w14:paraId="45EABB75"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146</w:t>
            </w:r>
          </w:p>
        </w:tc>
        <w:tc>
          <w:tcPr>
            <w:tcW w:w="1060" w:type="dxa"/>
            <w:tcBorders>
              <w:top w:val="nil"/>
              <w:left w:val="nil"/>
              <w:bottom w:val="single" w:sz="4" w:space="0" w:color="auto"/>
              <w:right w:val="single" w:sz="8" w:space="0" w:color="auto"/>
            </w:tcBorders>
            <w:shd w:val="clear" w:color="auto" w:fill="auto"/>
            <w:noWrap/>
            <w:vAlign w:val="center"/>
            <w:hideMark/>
          </w:tcPr>
          <w:p w14:paraId="59265FBA"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210</w:t>
            </w:r>
          </w:p>
        </w:tc>
      </w:tr>
      <w:tr w:rsidR="00772287" w:rsidRPr="002340FA" w14:paraId="620811D0" w14:textId="77777777" w:rsidTr="00D0295E">
        <w:trPr>
          <w:trHeight w:val="315"/>
        </w:trPr>
        <w:tc>
          <w:tcPr>
            <w:tcW w:w="2836" w:type="dxa"/>
            <w:tcBorders>
              <w:top w:val="nil"/>
              <w:left w:val="single" w:sz="8" w:space="0" w:color="auto"/>
              <w:bottom w:val="single" w:sz="4" w:space="0" w:color="auto"/>
              <w:right w:val="single" w:sz="4" w:space="0" w:color="auto"/>
            </w:tcBorders>
            <w:shd w:val="clear" w:color="auto" w:fill="auto"/>
            <w:noWrap/>
            <w:vAlign w:val="center"/>
            <w:hideMark/>
          </w:tcPr>
          <w:p w14:paraId="3C6FCDFA"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İthalatın Piyasa Payı</w:t>
            </w:r>
          </w:p>
        </w:tc>
        <w:tc>
          <w:tcPr>
            <w:tcW w:w="880" w:type="dxa"/>
            <w:tcBorders>
              <w:top w:val="nil"/>
              <w:left w:val="nil"/>
              <w:bottom w:val="single" w:sz="4" w:space="0" w:color="auto"/>
              <w:right w:val="single" w:sz="4" w:space="0" w:color="auto"/>
            </w:tcBorders>
            <w:shd w:val="clear" w:color="auto" w:fill="auto"/>
            <w:noWrap/>
            <w:vAlign w:val="center"/>
            <w:hideMark/>
          </w:tcPr>
          <w:p w14:paraId="283DB940"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060" w:type="dxa"/>
            <w:tcBorders>
              <w:top w:val="nil"/>
              <w:left w:val="nil"/>
              <w:bottom w:val="single" w:sz="4" w:space="0" w:color="auto"/>
              <w:right w:val="single" w:sz="4" w:space="0" w:color="auto"/>
            </w:tcBorders>
            <w:shd w:val="clear" w:color="auto" w:fill="auto"/>
            <w:noWrap/>
            <w:vAlign w:val="center"/>
            <w:hideMark/>
          </w:tcPr>
          <w:p w14:paraId="62F8A663"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shd w:val="clear" w:color="auto" w:fill="auto"/>
            <w:noWrap/>
            <w:vAlign w:val="center"/>
            <w:hideMark/>
          </w:tcPr>
          <w:p w14:paraId="7814118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shd w:val="clear" w:color="auto" w:fill="auto"/>
            <w:noWrap/>
            <w:vAlign w:val="center"/>
            <w:hideMark/>
          </w:tcPr>
          <w:p w14:paraId="34F0977F"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115</w:t>
            </w:r>
          </w:p>
        </w:tc>
        <w:tc>
          <w:tcPr>
            <w:tcW w:w="1060" w:type="dxa"/>
            <w:tcBorders>
              <w:top w:val="nil"/>
              <w:left w:val="nil"/>
              <w:bottom w:val="single" w:sz="4" w:space="0" w:color="auto"/>
              <w:right w:val="single" w:sz="4" w:space="0" w:color="auto"/>
            </w:tcBorders>
            <w:shd w:val="clear" w:color="auto" w:fill="auto"/>
            <w:noWrap/>
            <w:vAlign w:val="center"/>
            <w:hideMark/>
          </w:tcPr>
          <w:p w14:paraId="0CF0B2F0"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142</w:t>
            </w:r>
          </w:p>
        </w:tc>
        <w:tc>
          <w:tcPr>
            <w:tcW w:w="1060" w:type="dxa"/>
            <w:tcBorders>
              <w:top w:val="nil"/>
              <w:left w:val="nil"/>
              <w:bottom w:val="single" w:sz="4" w:space="0" w:color="auto"/>
              <w:right w:val="single" w:sz="8" w:space="0" w:color="auto"/>
            </w:tcBorders>
            <w:shd w:val="clear" w:color="auto" w:fill="auto"/>
            <w:noWrap/>
            <w:vAlign w:val="center"/>
            <w:hideMark/>
          </w:tcPr>
          <w:p w14:paraId="090D65D3"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185</w:t>
            </w:r>
          </w:p>
        </w:tc>
      </w:tr>
      <w:tr w:rsidR="00772287" w:rsidRPr="002340FA" w14:paraId="17C3FCDA" w14:textId="77777777" w:rsidTr="00D0295E">
        <w:trPr>
          <w:trHeight w:val="315"/>
        </w:trPr>
        <w:tc>
          <w:tcPr>
            <w:tcW w:w="2836" w:type="dxa"/>
            <w:tcBorders>
              <w:top w:val="nil"/>
              <w:left w:val="single" w:sz="8" w:space="0" w:color="auto"/>
              <w:bottom w:val="single" w:sz="4" w:space="0" w:color="auto"/>
              <w:right w:val="single" w:sz="4" w:space="0" w:color="auto"/>
            </w:tcBorders>
            <w:shd w:val="clear" w:color="auto" w:fill="auto"/>
            <w:noWrap/>
            <w:vAlign w:val="center"/>
            <w:hideMark/>
          </w:tcPr>
          <w:p w14:paraId="6AA0414F"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Yurtiçi Satışlar</w:t>
            </w:r>
          </w:p>
        </w:tc>
        <w:tc>
          <w:tcPr>
            <w:tcW w:w="880" w:type="dxa"/>
            <w:tcBorders>
              <w:top w:val="nil"/>
              <w:left w:val="nil"/>
              <w:bottom w:val="single" w:sz="4" w:space="0" w:color="auto"/>
              <w:right w:val="single" w:sz="4" w:space="0" w:color="auto"/>
            </w:tcBorders>
            <w:shd w:val="clear" w:color="auto" w:fill="auto"/>
            <w:noWrap/>
            <w:vAlign w:val="center"/>
            <w:hideMark/>
          </w:tcPr>
          <w:p w14:paraId="20F6715B"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060" w:type="dxa"/>
            <w:tcBorders>
              <w:top w:val="nil"/>
              <w:left w:val="nil"/>
              <w:bottom w:val="single" w:sz="4" w:space="0" w:color="auto"/>
              <w:right w:val="single" w:sz="4" w:space="0" w:color="auto"/>
            </w:tcBorders>
            <w:shd w:val="clear" w:color="auto" w:fill="auto"/>
            <w:noWrap/>
            <w:vAlign w:val="center"/>
            <w:hideMark/>
          </w:tcPr>
          <w:p w14:paraId="29677AFD"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shd w:val="clear" w:color="auto" w:fill="auto"/>
            <w:noWrap/>
            <w:vAlign w:val="center"/>
            <w:hideMark/>
          </w:tcPr>
          <w:p w14:paraId="01E607F7"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115</w:t>
            </w:r>
          </w:p>
        </w:tc>
        <w:tc>
          <w:tcPr>
            <w:tcW w:w="1060" w:type="dxa"/>
            <w:tcBorders>
              <w:top w:val="nil"/>
              <w:left w:val="nil"/>
              <w:bottom w:val="single" w:sz="4" w:space="0" w:color="auto"/>
              <w:right w:val="single" w:sz="4" w:space="0" w:color="auto"/>
            </w:tcBorders>
            <w:shd w:val="clear" w:color="auto" w:fill="auto"/>
            <w:noWrap/>
            <w:vAlign w:val="center"/>
            <w:hideMark/>
          </w:tcPr>
          <w:p w14:paraId="70CC5037"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120</w:t>
            </w:r>
          </w:p>
        </w:tc>
        <w:tc>
          <w:tcPr>
            <w:tcW w:w="1060" w:type="dxa"/>
            <w:tcBorders>
              <w:top w:val="nil"/>
              <w:left w:val="nil"/>
              <w:bottom w:val="single" w:sz="4" w:space="0" w:color="auto"/>
              <w:right w:val="single" w:sz="4" w:space="0" w:color="auto"/>
            </w:tcBorders>
            <w:shd w:val="clear" w:color="auto" w:fill="auto"/>
            <w:noWrap/>
            <w:vAlign w:val="center"/>
            <w:hideMark/>
          </w:tcPr>
          <w:p w14:paraId="692E44BE"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101</w:t>
            </w:r>
          </w:p>
        </w:tc>
        <w:tc>
          <w:tcPr>
            <w:tcW w:w="1060" w:type="dxa"/>
            <w:tcBorders>
              <w:top w:val="nil"/>
              <w:left w:val="nil"/>
              <w:bottom w:val="single" w:sz="4" w:space="0" w:color="auto"/>
              <w:right w:val="single" w:sz="8" w:space="0" w:color="auto"/>
            </w:tcBorders>
            <w:shd w:val="clear" w:color="auto" w:fill="auto"/>
            <w:noWrap/>
            <w:vAlign w:val="center"/>
            <w:hideMark/>
          </w:tcPr>
          <w:p w14:paraId="2F101A0C"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101</w:t>
            </w:r>
          </w:p>
        </w:tc>
      </w:tr>
      <w:tr w:rsidR="00772287" w:rsidRPr="002340FA" w14:paraId="2F10604B" w14:textId="77777777" w:rsidTr="00D0295E">
        <w:trPr>
          <w:trHeight w:val="315"/>
        </w:trPr>
        <w:tc>
          <w:tcPr>
            <w:tcW w:w="2836" w:type="dxa"/>
            <w:tcBorders>
              <w:top w:val="nil"/>
              <w:left w:val="single" w:sz="8" w:space="0" w:color="auto"/>
              <w:bottom w:val="single" w:sz="4" w:space="0" w:color="auto"/>
              <w:right w:val="single" w:sz="4" w:space="0" w:color="auto"/>
            </w:tcBorders>
            <w:shd w:val="clear" w:color="auto" w:fill="auto"/>
            <w:noWrap/>
            <w:vAlign w:val="center"/>
            <w:hideMark/>
          </w:tcPr>
          <w:p w14:paraId="54C7FD67"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Yurtdışı Satışlar</w:t>
            </w:r>
          </w:p>
        </w:tc>
        <w:tc>
          <w:tcPr>
            <w:tcW w:w="880" w:type="dxa"/>
            <w:tcBorders>
              <w:top w:val="nil"/>
              <w:left w:val="nil"/>
              <w:bottom w:val="single" w:sz="4" w:space="0" w:color="auto"/>
              <w:right w:val="single" w:sz="4" w:space="0" w:color="auto"/>
            </w:tcBorders>
            <w:shd w:val="clear" w:color="auto" w:fill="auto"/>
            <w:noWrap/>
            <w:vAlign w:val="center"/>
            <w:hideMark/>
          </w:tcPr>
          <w:p w14:paraId="175139D4"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060" w:type="dxa"/>
            <w:tcBorders>
              <w:top w:val="nil"/>
              <w:left w:val="nil"/>
              <w:bottom w:val="single" w:sz="4" w:space="0" w:color="auto"/>
              <w:right w:val="single" w:sz="4" w:space="0" w:color="auto"/>
            </w:tcBorders>
            <w:shd w:val="clear" w:color="auto" w:fill="auto"/>
            <w:noWrap/>
            <w:vAlign w:val="center"/>
            <w:hideMark/>
          </w:tcPr>
          <w:p w14:paraId="22243297"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shd w:val="clear" w:color="auto" w:fill="auto"/>
            <w:noWrap/>
            <w:vAlign w:val="center"/>
            <w:hideMark/>
          </w:tcPr>
          <w:p w14:paraId="61B583A6"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97</w:t>
            </w:r>
          </w:p>
        </w:tc>
        <w:tc>
          <w:tcPr>
            <w:tcW w:w="1060" w:type="dxa"/>
            <w:tcBorders>
              <w:top w:val="nil"/>
              <w:left w:val="nil"/>
              <w:bottom w:val="single" w:sz="4" w:space="0" w:color="auto"/>
              <w:right w:val="single" w:sz="4" w:space="0" w:color="auto"/>
            </w:tcBorders>
            <w:shd w:val="clear" w:color="auto" w:fill="auto"/>
            <w:noWrap/>
            <w:vAlign w:val="center"/>
            <w:hideMark/>
          </w:tcPr>
          <w:p w14:paraId="0B886B5F"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52</w:t>
            </w:r>
          </w:p>
        </w:tc>
        <w:tc>
          <w:tcPr>
            <w:tcW w:w="1060" w:type="dxa"/>
            <w:tcBorders>
              <w:top w:val="nil"/>
              <w:left w:val="nil"/>
              <w:bottom w:val="single" w:sz="4" w:space="0" w:color="auto"/>
              <w:right w:val="single" w:sz="4" w:space="0" w:color="auto"/>
            </w:tcBorders>
            <w:shd w:val="clear" w:color="auto" w:fill="auto"/>
            <w:noWrap/>
            <w:vAlign w:val="center"/>
            <w:hideMark/>
          </w:tcPr>
          <w:p w14:paraId="0B8BDCDA"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78</w:t>
            </w:r>
          </w:p>
        </w:tc>
        <w:tc>
          <w:tcPr>
            <w:tcW w:w="1060" w:type="dxa"/>
            <w:tcBorders>
              <w:top w:val="nil"/>
              <w:left w:val="nil"/>
              <w:bottom w:val="single" w:sz="4" w:space="0" w:color="auto"/>
              <w:right w:val="single" w:sz="8" w:space="0" w:color="auto"/>
            </w:tcBorders>
            <w:shd w:val="clear" w:color="auto" w:fill="auto"/>
            <w:noWrap/>
            <w:vAlign w:val="center"/>
            <w:hideMark/>
          </w:tcPr>
          <w:p w14:paraId="0FA459A9"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51</w:t>
            </w:r>
          </w:p>
        </w:tc>
      </w:tr>
      <w:tr w:rsidR="00772287" w:rsidRPr="002340FA" w14:paraId="58A7B40A" w14:textId="77777777" w:rsidTr="00D0295E">
        <w:trPr>
          <w:trHeight w:val="315"/>
        </w:trPr>
        <w:tc>
          <w:tcPr>
            <w:tcW w:w="2836" w:type="dxa"/>
            <w:tcBorders>
              <w:top w:val="nil"/>
              <w:left w:val="single" w:sz="8" w:space="0" w:color="auto"/>
              <w:bottom w:val="single" w:sz="4" w:space="0" w:color="auto"/>
              <w:right w:val="single" w:sz="4" w:space="0" w:color="auto"/>
            </w:tcBorders>
            <w:shd w:val="clear" w:color="auto" w:fill="auto"/>
            <w:noWrap/>
            <w:vAlign w:val="center"/>
            <w:hideMark/>
          </w:tcPr>
          <w:p w14:paraId="224AE40E"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Kapasite</w:t>
            </w:r>
          </w:p>
        </w:tc>
        <w:tc>
          <w:tcPr>
            <w:tcW w:w="880" w:type="dxa"/>
            <w:tcBorders>
              <w:top w:val="nil"/>
              <w:left w:val="nil"/>
              <w:bottom w:val="single" w:sz="4" w:space="0" w:color="auto"/>
              <w:right w:val="single" w:sz="4" w:space="0" w:color="auto"/>
            </w:tcBorders>
            <w:shd w:val="clear" w:color="auto" w:fill="auto"/>
            <w:noWrap/>
            <w:vAlign w:val="center"/>
            <w:hideMark/>
          </w:tcPr>
          <w:p w14:paraId="2E1BB984"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060" w:type="dxa"/>
            <w:tcBorders>
              <w:top w:val="nil"/>
              <w:left w:val="nil"/>
              <w:bottom w:val="single" w:sz="4" w:space="0" w:color="auto"/>
              <w:right w:val="single" w:sz="4" w:space="0" w:color="auto"/>
            </w:tcBorders>
            <w:shd w:val="clear" w:color="auto" w:fill="auto"/>
            <w:noWrap/>
            <w:vAlign w:val="center"/>
            <w:hideMark/>
          </w:tcPr>
          <w:p w14:paraId="78A8BAEA"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shd w:val="clear" w:color="auto" w:fill="auto"/>
            <w:noWrap/>
            <w:vAlign w:val="center"/>
            <w:hideMark/>
          </w:tcPr>
          <w:p w14:paraId="7C17AB86"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shd w:val="clear" w:color="auto" w:fill="auto"/>
            <w:noWrap/>
            <w:vAlign w:val="center"/>
            <w:hideMark/>
          </w:tcPr>
          <w:p w14:paraId="331C3216"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shd w:val="clear" w:color="auto" w:fill="auto"/>
            <w:noWrap/>
            <w:vAlign w:val="center"/>
            <w:hideMark/>
          </w:tcPr>
          <w:p w14:paraId="5BBA39F3"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8" w:space="0" w:color="auto"/>
            </w:tcBorders>
            <w:shd w:val="clear" w:color="auto" w:fill="auto"/>
            <w:noWrap/>
            <w:vAlign w:val="center"/>
            <w:hideMark/>
          </w:tcPr>
          <w:p w14:paraId="124E15D1"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103</w:t>
            </w:r>
          </w:p>
        </w:tc>
      </w:tr>
      <w:tr w:rsidR="00772287" w:rsidRPr="002340FA" w14:paraId="48BBB268" w14:textId="77777777" w:rsidTr="00D0295E">
        <w:trPr>
          <w:trHeight w:val="315"/>
        </w:trPr>
        <w:tc>
          <w:tcPr>
            <w:tcW w:w="2836" w:type="dxa"/>
            <w:tcBorders>
              <w:top w:val="nil"/>
              <w:left w:val="single" w:sz="8" w:space="0" w:color="auto"/>
              <w:bottom w:val="single" w:sz="4" w:space="0" w:color="auto"/>
              <w:right w:val="single" w:sz="4" w:space="0" w:color="auto"/>
            </w:tcBorders>
            <w:shd w:val="clear" w:color="auto" w:fill="auto"/>
            <w:noWrap/>
            <w:vAlign w:val="center"/>
            <w:hideMark/>
          </w:tcPr>
          <w:p w14:paraId="34B2B78E"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KKO</w:t>
            </w:r>
          </w:p>
        </w:tc>
        <w:tc>
          <w:tcPr>
            <w:tcW w:w="880" w:type="dxa"/>
            <w:tcBorders>
              <w:top w:val="nil"/>
              <w:left w:val="nil"/>
              <w:bottom w:val="single" w:sz="4" w:space="0" w:color="auto"/>
              <w:right w:val="single" w:sz="4" w:space="0" w:color="auto"/>
            </w:tcBorders>
            <w:shd w:val="clear" w:color="auto" w:fill="auto"/>
            <w:noWrap/>
            <w:vAlign w:val="center"/>
            <w:hideMark/>
          </w:tcPr>
          <w:p w14:paraId="473886D8"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060" w:type="dxa"/>
            <w:tcBorders>
              <w:top w:val="nil"/>
              <w:left w:val="nil"/>
              <w:bottom w:val="single" w:sz="4" w:space="0" w:color="auto"/>
              <w:right w:val="single" w:sz="4" w:space="0" w:color="auto"/>
            </w:tcBorders>
            <w:shd w:val="clear" w:color="auto" w:fill="auto"/>
            <w:noWrap/>
            <w:vAlign w:val="center"/>
            <w:hideMark/>
          </w:tcPr>
          <w:p w14:paraId="5E99F884"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shd w:val="clear" w:color="auto" w:fill="auto"/>
            <w:noWrap/>
            <w:vAlign w:val="center"/>
            <w:hideMark/>
          </w:tcPr>
          <w:p w14:paraId="53DFB6F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112</w:t>
            </w:r>
          </w:p>
        </w:tc>
        <w:tc>
          <w:tcPr>
            <w:tcW w:w="1060" w:type="dxa"/>
            <w:tcBorders>
              <w:top w:val="nil"/>
              <w:left w:val="nil"/>
              <w:bottom w:val="single" w:sz="4" w:space="0" w:color="auto"/>
              <w:right w:val="single" w:sz="4" w:space="0" w:color="auto"/>
            </w:tcBorders>
            <w:shd w:val="clear" w:color="auto" w:fill="auto"/>
            <w:noWrap/>
            <w:vAlign w:val="center"/>
            <w:hideMark/>
          </w:tcPr>
          <w:p w14:paraId="487A3755"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113</w:t>
            </w:r>
          </w:p>
        </w:tc>
        <w:tc>
          <w:tcPr>
            <w:tcW w:w="1060" w:type="dxa"/>
            <w:tcBorders>
              <w:top w:val="nil"/>
              <w:left w:val="nil"/>
              <w:bottom w:val="single" w:sz="4" w:space="0" w:color="auto"/>
              <w:right w:val="single" w:sz="4" w:space="0" w:color="auto"/>
            </w:tcBorders>
            <w:shd w:val="clear" w:color="auto" w:fill="auto"/>
            <w:noWrap/>
            <w:vAlign w:val="center"/>
            <w:hideMark/>
          </w:tcPr>
          <w:p w14:paraId="13A9946B"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102</w:t>
            </w:r>
          </w:p>
        </w:tc>
        <w:tc>
          <w:tcPr>
            <w:tcW w:w="1060" w:type="dxa"/>
            <w:tcBorders>
              <w:top w:val="nil"/>
              <w:left w:val="nil"/>
              <w:bottom w:val="single" w:sz="4" w:space="0" w:color="auto"/>
              <w:right w:val="single" w:sz="8" w:space="0" w:color="auto"/>
            </w:tcBorders>
            <w:shd w:val="clear" w:color="auto" w:fill="auto"/>
            <w:noWrap/>
            <w:vAlign w:val="center"/>
            <w:hideMark/>
          </w:tcPr>
          <w:p w14:paraId="6BAF8CDC"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95</w:t>
            </w:r>
          </w:p>
        </w:tc>
      </w:tr>
      <w:tr w:rsidR="00772287" w:rsidRPr="002340FA" w14:paraId="44A288DB" w14:textId="77777777" w:rsidTr="00D0295E">
        <w:trPr>
          <w:trHeight w:val="315"/>
        </w:trPr>
        <w:tc>
          <w:tcPr>
            <w:tcW w:w="2836" w:type="dxa"/>
            <w:tcBorders>
              <w:top w:val="nil"/>
              <w:left w:val="single" w:sz="8" w:space="0" w:color="auto"/>
              <w:bottom w:val="single" w:sz="4" w:space="0" w:color="auto"/>
              <w:right w:val="single" w:sz="4" w:space="0" w:color="auto"/>
            </w:tcBorders>
            <w:shd w:val="clear" w:color="auto" w:fill="auto"/>
            <w:noWrap/>
            <w:vAlign w:val="center"/>
            <w:hideMark/>
          </w:tcPr>
          <w:p w14:paraId="63B81B91"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Stoklar</w:t>
            </w:r>
          </w:p>
        </w:tc>
        <w:tc>
          <w:tcPr>
            <w:tcW w:w="880" w:type="dxa"/>
            <w:tcBorders>
              <w:top w:val="nil"/>
              <w:left w:val="nil"/>
              <w:bottom w:val="single" w:sz="4" w:space="0" w:color="auto"/>
              <w:right w:val="single" w:sz="4" w:space="0" w:color="auto"/>
            </w:tcBorders>
            <w:shd w:val="clear" w:color="auto" w:fill="auto"/>
            <w:noWrap/>
            <w:vAlign w:val="center"/>
            <w:hideMark/>
          </w:tcPr>
          <w:p w14:paraId="29067713"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060" w:type="dxa"/>
            <w:tcBorders>
              <w:top w:val="nil"/>
              <w:left w:val="nil"/>
              <w:bottom w:val="single" w:sz="4" w:space="0" w:color="auto"/>
              <w:right w:val="single" w:sz="4" w:space="0" w:color="auto"/>
            </w:tcBorders>
            <w:shd w:val="clear" w:color="auto" w:fill="auto"/>
            <w:noWrap/>
            <w:vAlign w:val="center"/>
            <w:hideMark/>
          </w:tcPr>
          <w:p w14:paraId="7812CEDE"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shd w:val="clear" w:color="auto" w:fill="auto"/>
            <w:noWrap/>
            <w:vAlign w:val="center"/>
            <w:hideMark/>
          </w:tcPr>
          <w:p w14:paraId="049718FB"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69</w:t>
            </w:r>
          </w:p>
        </w:tc>
        <w:tc>
          <w:tcPr>
            <w:tcW w:w="1060" w:type="dxa"/>
            <w:tcBorders>
              <w:top w:val="nil"/>
              <w:left w:val="nil"/>
              <w:bottom w:val="single" w:sz="4" w:space="0" w:color="auto"/>
              <w:right w:val="single" w:sz="4" w:space="0" w:color="auto"/>
            </w:tcBorders>
            <w:shd w:val="clear" w:color="auto" w:fill="auto"/>
            <w:noWrap/>
            <w:vAlign w:val="center"/>
            <w:hideMark/>
          </w:tcPr>
          <w:p w14:paraId="33A61240"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66</w:t>
            </w:r>
          </w:p>
        </w:tc>
        <w:tc>
          <w:tcPr>
            <w:tcW w:w="1060" w:type="dxa"/>
            <w:tcBorders>
              <w:top w:val="nil"/>
              <w:left w:val="nil"/>
              <w:bottom w:val="single" w:sz="4" w:space="0" w:color="auto"/>
              <w:right w:val="single" w:sz="4" w:space="0" w:color="auto"/>
            </w:tcBorders>
            <w:shd w:val="clear" w:color="auto" w:fill="auto"/>
            <w:noWrap/>
            <w:vAlign w:val="center"/>
            <w:hideMark/>
          </w:tcPr>
          <w:p w14:paraId="0516FC84"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89</w:t>
            </w:r>
          </w:p>
        </w:tc>
        <w:tc>
          <w:tcPr>
            <w:tcW w:w="1060" w:type="dxa"/>
            <w:tcBorders>
              <w:top w:val="nil"/>
              <w:left w:val="nil"/>
              <w:bottom w:val="single" w:sz="4" w:space="0" w:color="auto"/>
              <w:right w:val="single" w:sz="8" w:space="0" w:color="auto"/>
            </w:tcBorders>
            <w:shd w:val="clear" w:color="auto" w:fill="auto"/>
            <w:noWrap/>
            <w:vAlign w:val="center"/>
            <w:hideMark/>
          </w:tcPr>
          <w:p w14:paraId="5DE2109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102</w:t>
            </w:r>
          </w:p>
        </w:tc>
      </w:tr>
      <w:tr w:rsidR="00772287" w:rsidRPr="002340FA" w14:paraId="32DEB763" w14:textId="77777777" w:rsidTr="00D0295E">
        <w:trPr>
          <w:trHeight w:val="315"/>
        </w:trPr>
        <w:tc>
          <w:tcPr>
            <w:tcW w:w="2836" w:type="dxa"/>
            <w:tcBorders>
              <w:top w:val="nil"/>
              <w:left w:val="single" w:sz="8" w:space="0" w:color="auto"/>
              <w:bottom w:val="single" w:sz="4" w:space="0" w:color="auto"/>
              <w:right w:val="single" w:sz="4" w:space="0" w:color="auto"/>
            </w:tcBorders>
            <w:shd w:val="clear" w:color="auto" w:fill="auto"/>
            <w:noWrap/>
            <w:vAlign w:val="center"/>
            <w:hideMark/>
          </w:tcPr>
          <w:p w14:paraId="2A690EE7"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İstihdam</w:t>
            </w:r>
          </w:p>
        </w:tc>
        <w:tc>
          <w:tcPr>
            <w:tcW w:w="880" w:type="dxa"/>
            <w:tcBorders>
              <w:top w:val="nil"/>
              <w:left w:val="nil"/>
              <w:bottom w:val="single" w:sz="4" w:space="0" w:color="auto"/>
              <w:right w:val="single" w:sz="4" w:space="0" w:color="auto"/>
            </w:tcBorders>
            <w:shd w:val="clear" w:color="auto" w:fill="auto"/>
            <w:noWrap/>
            <w:vAlign w:val="center"/>
            <w:hideMark/>
          </w:tcPr>
          <w:p w14:paraId="1B6D897D"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060" w:type="dxa"/>
            <w:tcBorders>
              <w:top w:val="nil"/>
              <w:left w:val="nil"/>
              <w:bottom w:val="single" w:sz="4" w:space="0" w:color="auto"/>
              <w:right w:val="single" w:sz="4" w:space="0" w:color="auto"/>
            </w:tcBorders>
            <w:shd w:val="clear" w:color="auto" w:fill="auto"/>
            <w:noWrap/>
            <w:vAlign w:val="center"/>
            <w:hideMark/>
          </w:tcPr>
          <w:p w14:paraId="54404485"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shd w:val="clear" w:color="auto" w:fill="auto"/>
            <w:noWrap/>
            <w:vAlign w:val="center"/>
            <w:hideMark/>
          </w:tcPr>
          <w:p w14:paraId="4091806D"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106</w:t>
            </w:r>
          </w:p>
        </w:tc>
        <w:tc>
          <w:tcPr>
            <w:tcW w:w="1060" w:type="dxa"/>
            <w:tcBorders>
              <w:top w:val="nil"/>
              <w:left w:val="nil"/>
              <w:bottom w:val="single" w:sz="4" w:space="0" w:color="auto"/>
              <w:right w:val="single" w:sz="4" w:space="0" w:color="auto"/>
            </w:tcBorders>
            <w:shd w:val="clear" w:color="auto" w:fill="auto"/>
            <w:noWrap/>
            <w:vAlign w:val="center"/>
            <w:hideMark/>
          </w:tcPr>
          <w:p w14:paraId="28F8B4D5"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108</w:t>
            </w:r>
          </w:p>
        </w:tc>
        <w:tc>
          <w:tcPr>
            <w:tcW w:w="1060" w:type="dxa"/>
            <w:tcBorders>
              <w:top w:val="nil"/>
              <w:left w:val="nil"/>
              <w:bottom w:val="single" w:sz="4" w:space="0" w:color="auto"/>
              <w:right w:val="single" w:sz="4" w:space="0" w:color="auto"/>
            </w:tcBorders>
            <w:shd w:val="clear" w:color="auto" w:fill="auto"/>
            <w:noWrap/>
            <w:vAlign w:val="center"/>
            <w:hideMark/>
          </w:tcPr>
          <w:p w14:paraId="683E240C"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112</w:t>
            </w:r>
          </w:p>
        </w:tc>
        <w:tc>
          <w:tcPr>
            <w:tcW w:w="1060" w:type="dxa"/>
            <w:tcBorders>
              <w:top w:val="nil"/>
              <w:left w:val="nil"/>
              <w:bottom w:val="single" w:sz="4" w:space="0" w:color="auto"/>
              <w:right w:val="single" w:sz="8" w:space="0" w:color="auto"/>
            </w:tcBorders>
            <w:shd w:val="clear" w:color="auto" w:fill="auto"/>
            <w:noWrap/>
            <w:vAlign w:val="center"/>
            <w:hideMark/>
          </w:tcPr>
          <w:p w14:paraId="32F9C3F1"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122</w:t>
            </w:r>
          </w:p>
        </w:tc>
      </w:tr>
      <w:tr w:rsidR="00772287" w:rsidRPr="002340FA" w14:paraId="164F14A0" w14:textId="77777777" w:rsidTr="00D0295E">
        <w:trPr>
          <w:trHeight w:val="315"/>
        </w:trPr>
        <w:tc>
          <w:tcPr>
            <w:tcW w:w="2836" w:type="dxa"/>
            <w:tcBorders>
              <w:top w:val="nil"/>
              <w:left w:val="single" w:sz="8" w:space="0" w:color="auto"/>
              <w:bottom w:val="single" w:sz="4" w:space="0" w:color="auto"/>
              <w:right w:val="single" w:sz="4" w:space="0" w:color="auto"/>
            </w:tcBorders>
            <w:shd w:val="clear" w:color="auto" w:fill="auto"/>
            <w:noWrap/>
            <w:vAlign w:val="center"/>
            <w:hideMark/>
          </w:tcPr>
          <w:p w14:paraId="252E2BB4"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Verimlilik</w:t>
            </w:r>
          </w:p>
        </w:tc>
        <w:tc>
          <w:tcPr>
            <w:tcW w:w="880" w:type="dxa"/>
            <w:tcBorders>
              <w:top w:val="nil"/>
              <w:left w:val="nil"/>
              <w:bottom w:val="single" w:sz="4" w:space="0" w:color="auto"/>
              <w:right w:val="single" w:sz="4" w:space="0" w:color="auto"/>
            </w:tcBorders>
            <w:shd w:val="clear" w:color="auto" w:fill="auto"/>
            <w:noWrap/>
            <w:vAlign w:val="center"/>
            <w:hideMark/>
          </w:tcPr>
          <w:p w14:paraId="774F70F4"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060" w:type="dxa"/>
            <w:tcBorders>
              <w:top w:val="nil"/>
              <w:left w:val="nil"/>
              <w:bottom w:val="single" w:sz="4" w:space="0" w:color="auto"/>
              <w:right w:val="single" w:sz="4" w:space="0" w:color="auto"/>
            </w:tcBorders>
            <w:shd w:val="clear" w:color="auto" w:fill="auto"/>
            <w:noWrap/>
            <w:vAlign w:val="center"/>
            <w:hideMark/>
          </w:tcPr>
          <w:p w14:paraId="3DAD354E"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shd w:val="clear" w:color="auto" w:fill="auto"/>
            <w:noWrap/>
            <w:vAlign w:val="center"/>
            <w:hideMark/>
          </w:tcPr>
          <w:p w14:paraId="38E2C422"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105</w:t>
            </w:r>
          </w:p>
        </w:tc>
        <w:tc>
          <w:tcPr>
            <w:tcW w:w="1060" w:type="dxa"/>
            <w:tcBorders>
              <w:top w:val="nil"/>
              <w:left w:val="nil"/>
              <w:bottom w:val="single" w:sz="4" w:space="0" w:color="auto"/>
              <w:right w:val="single" w:sz="4" w:space="0" w:color="auto"/>
            </w:tcBorders>
            <w:shd w:val="clear" w:color="auto" w:fill="auto"/>
            <w:noWrap/>
            <w:vAlign w:val="center"/>
            <w:hideMark/>
          </w:tcPr>
          <w:p w14:paraId="6E8B1B2C"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104</w:t>
            </w:r>
          </w:p>
        </w:tc>
        <w:tc>
          <w:tcPr>
            <w:tcW w:w="1060" w:type="dxa"/>
            <w:tcBorders>
              <w:top w:val="nil"/>
              <w:left w:val="nil"/>
              <w:bottom w:val="single" w:sz="4" w:space="0" w:color="auto"/>
              <w:right w:val="single" w:sz="4" w:space="0" w:color="auto"/>
            </w:tcBorders>
            <w:shd w:val="clear" w:color="auto" w:fill="auto"/>
            <w:noWrap/>
            <w:vAlign w:val="center"/>
            <w:hideMark/>
          </w:tcPr>
          <w:p w14:paraId="699E6A7B"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91</w:t>
            </w:r>
          </w:p>
        </w:tc>
        <w:tc>
          <w:tcPr>
            <w:tcW w:w="1060" w:type="dxa"/>
            <w:tcBorders>
              <w:top w:val="nil"/>
              <w:left w:val="nil"/>
              <w:bottom w:val="single" w:sz="4" w:space="0" w:color="auto"/>
              <w:right w:val="single" w:sz="8" w:space="0" w:color="auto"/>
            </w:tcBorders>
            <w:shd w:val="clear" w:color="auto" w:fill="auto"/>
            <w:noWrap/>
            <w:vAlign w:val="center"/>
            <w:hideMark/>
          </w:tcPr>
          <w:p w14:paraId="7D67E87E"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80</w:t>
            </w:r>
          </w:p>
        </w:tc>
      </w:tr>
      <w:tr w:rsidR="00772287" w:rsidRPr="002340FA" w14:paraId="2A1E7E19" w14:textId="77777777" w:rsidTr="00D0295E">
        <w:trPr>
          <w:trHeight w:val="330"/>
        </w:trPr>
        <w:tc>
          <w:tcPr>
            <w:tcW w:w="2836" w:type="dxa"/>
            <w:tcBorders>
              <w:top w:val="nil"/>
              <w:left w:val="single" w:sz="8" w:space="0" w:color="auto"/>
              <w:bottom w:val="single" w:sz="8" w:space="0" w:color="auto"/>
              <w:right w:val="single" w:sz="4" w:space="0" w:color="auto"/>
            </w:tcBorders>
            <w:shd w:val="clear" w:color="auto" w:fill="auto"/>
            <w:noWrap/>
            <w:vAlign w:val="center"/>
            <w:hideMark/>
          </w:tcPr>
          <w:p w14:paraId="72D6F27F" w14:textId="77777777" w:rsidR="00772287" w:rsidRPr="002340FA" w:rsidRDefault="00772287" w:rsidP="00D0295E">
            <w:pPr>
              <w:spacing w:after="0" w:line="240" w:lineRule="auto"/>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Karlılık</w:t>
            </w:r>
          </w:p>
        </w:tc>
        <w:tc>
          <w:tcPr>
            <w:tcW w:w="880" w:type="dxa"/>
            <w:tcBorders>
              <w:top w:val="nil"/>
              <w:left w:val="nil"/>
              <w:bottom w:val="single" w:sz="8" w:space="0" w:color="auto"/>
              <w:right w:val="single" w:sz="4" w:space="0" w:color="auto"/>
            </w:tcBorders>
            <w:shd w:val="clear" w:color="auto" w:fill="auto"/>
            <w:noWrap/>
            <w:vAlign w:val="center"/>
            <w:hideMark/>
          </w:tcPr>
          <w:p w14:paraId="3B21F111"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Endeks</w:t>
            </w:r>
          </w:p>
        </w:tc>
        <w:tc>
          <w:tcPr>
            <w:tcW w:w="1060" w:type="dxa"/>
            <w:tcBorders>
              <w:top w:val="nil"/>
              <w:left w:val="nil"/>
              <w:bottom w:val="single" w:sz="8" w:space="0" w:color="auto"/>
              <w:right w:val="single" w:sz="4" w:space="0" w:color="auto"/>
            </w:tcBorders>
            <w:shd w:val="clear" w:color="auto" w:fill="auto"/>
            <w:noWrap/>
            <w:vAlign w:val="center"/>
            <w:hideMark/>
          </w:tcPr>
          <w:p w14:paraId="2029E7A1"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100</w:t>
            </w:r>
          </w:p>
        </w:tc>
        <w:tc>
          <w:tcPr>
            <w:tcW w:w="1060" w:type="dxa"/>
            <w:tcBorders>
              <w:top w:val="nil"/>
              <w:left w:val="nil"/>
              <w:bottom w:val="single" w:sz="8" w:space="0" w:color="auto"/>
              <w:right w:val="single" w:sz="4" w:space="0" w:color="auto"/>
            </w:tcBorders>
            <w:shd w:val="clear" w:color="auto" w:fill="auto"/>
            <w:noWrap/>
            <w:vAlign w:val="center"/>
            <w:hideMark/>
          </w:tcPr>
          <w:p w14:paraId="02A7C5C9"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298</w:t>
            </w:r>
          </w:p>
        </w:tc>
        <w:tc>
          <w:tcPr>
            <w:tcW w:w="1060" w:type="dxa"/>
            <w:tcBorders>
              <w:top w:val="nil"/>
              <w:left w:val="nil"/>
              <w:bottom w:val="single" w:sz="8" w:space="0" w:color="auto"/>
              <w:right w:val="single" w:sz="4" w:space="0" w:color="auto"/>
            </w:tcBorders>
            <w:shd w:val="clear" w:color="auto" w:fill="auto"/>
            <w:noWrap/>
            <w:vAlign w:val="center"/>
            <w:hideMark/>
          </w:tcPr>
          <w:p w14:paraId="795B6FA1"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704</w:t>
            </w:r>
          </w:p>
        </w:tc>
        <w:tc>
          <w:tcPr>
            <w:tcW w:w="1060" w:type="dxa"/>
            <w:tcBorders>
              <w:top w:val="nil"/>
              <w:left w:val="nil"/>
              <w:bottom w:val="single" w:sz="8" w:space="0" w:color="auto"/>
              <w:right w:val="single" w:sz="4" w:space="0" w:color="auto"/>
            </w:tcBorders>
            <w:shd w:val="clear" w:color="auto" w:fill="auto"/>
            <w:noWrap/>
            <w:vAlign w:val="center"/>
            <w:hideMark/>
          </w:tcPr>
          <w:p w14:paraId="43D67BDC"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397</w:t>
            </w:r>
          </w:p>
        </w:tc>
        <w:tc>
          <w:tcPr>
            <w:tcW w:w="1060" w:type="dxa"/>
            <w:tcBorders>
              <w:top w:val="nil"/>
              <w:left w:val="nil"/>
              <w:bottom w:val="single" w:sz="8" w:space="0" w:color="auto"/>
              <w:right w:val="single" w:sz="8" w:space="0" w:color="auto"/>
            </w:tcBorders>
            <w:shd w:val="clear" w:color="auto" w:fill="auto"/>
            <w:noWrap/>
            <w:vAlign w:val="center"/>
            <w:hideMark/>
          </w:tcPr>
          <w:p w14:paraId="165A87F5" w14:textId="77777777" w:rsidR="00772287" w:rsidRPr="002340FA" w:rsidRDefault="00772287" w:rsidP="00D0295E">
            <w:pPr>
              <w:spacing w:after="0" w:line="240" w:lineRule="auto"/>
              <w:jc w:val="center"/>
              <w:rPr>
                <w:rFonts w:ascii="Times New Roman" w:eastAsia="Times New Roman" w:hAnsi="Times New Roman" w:cs="Times New Roman"/>
                <w:color w:val="000000"/>
                <w:sz w:val="24"/>
                <w:szCs w:val="24"/>
                <w:lang w:eastAsia="tr-TR"/>
              </w:rPr>
            </w:pPr>
            <w:r w:rsidRPr="002340FA">
              <w:rPr>
                <w:rFonts w:ascii="Times New Roman" w:eastAsia="Times New Roman" w:hAnsi="Times New Roman" w:cs="Times New Roman"/>
                <w:color w:val="000000"/>
                <w:sz w:val="24"/>
                <w:szCs w:val="24"/>
                <w:lang w:eastAsia="tr-TR"/>
              </w:rPr>
              <w:t>-21</w:t>
            </w:r>
          </w:p>
        </w:tc>
      </w:tr>
    </w:tbl>
    <w:p w14:paraId="6ED8527B" w14:textId="77777777" w:rsidR="00772287" w:rsidRPr="002340FA" w:rsidRDefault="00772287" w:rsidP="00772287">
      <w:pPr>
        <w:spacing w:after="180" w:line="300" w:lineRule="exact"/>
        <w:jc w:val="both"/>
        <w:rPr>
          <w:rFonts w:ascii="Times New Roman" w:hAnsi="Times New Roman" w:cs="Times New Roman"/>
          <w:b/>
          <w:bCs/>
          <w:sz w:val="24"/>
          <w:szCs w:val="24"/>
        </w:rPr>
      </w:pPr>
    </w:p>
    <w:p w14:paraId="7BE12ADF"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 xml:space="preserve">Soruşturma konusu eşyanın mutlak ithalatı soruşturma dönemi boyunca düzenli bir şekilde 2020 yılında %15, 2021 yılında %23, 2022 yılında %6, özellikle soruşturma döneminin son yılı olan 2023 yılında ise miktar bazında ani ve keskin olarak nitelendirilebilecek ölçüde %37 oranında artış göstererek 340,2 bin ton seviyesine yükselmiştir. Bununla birlikte, 2023 yılında </w:t>
      </w:r>
      <w:r w:rsidRPr="002340FA">
        <w:rPr>
          <w:rFonts w:ascii="Times New Roman" w:hAnsi="Times New Roman" w:cs="Times New Roman"/>
          <w:sz w:val="24"/>
          <w:szCs w:val="24"/>
        </w:rPr>
        <w:lastRenderedPageBreak/>
        <w:t>ithalat, soruşturma döneminin ilk yılı olan 2019’a göre %104 oranında artış göstermiştir. Bu itibarla, ithalatın soruşturma dönemini kapsayan beş yıl boyunca mutlak olarak arttığı ve özellikle son yılda ani ve keskin bir artış göstermiştir.</w:t>
      </w:r>
    </w:p>
    <w:p w14:paraId="0836A653"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Bununla birlikte, ithalatın yerli üretime oranlanmasıyla elde edilen nispi ithalatın gelişimi incelendiğinde ise mutlak ithalatın gelişimine benzer bir kompozisyonla karşılaşılmaktadır. Buna göre, soruşturma konusu eşyanın nispi ithalatı soruşturma dönemi boyunca düzenli bir şekilde artmış, 2019 yılında 100 olan endeks değeri 2020’de 102’ye, 2021’de 125’e, 2022’de 146’ya, soruşturma döneminin son yılı olan 2023’de %44 artışla 210 seviyesine yükselmiştir.</w:t>
      </w:r>
    </w:p>
    <w:p w14:paraId="339774A0"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Ayrıca, mutlak ve nispi ithalat artışına paralel olarak ithalatın piyasa payının da soruşturma dönemi boyunca yukarı yönlü bir trend izlediği görülmektedir. Buna göre, 2019 ve 2020 yıllarında 100 olan endeks değeri 2021’de 115’e, 2022’de 142’ye 2023’te soruşturma döneminin en yüksek seviyesine olan 185’e yükselmiştir.</w:t>
      </w:r>
    </w:p>
    <w:p w14:paraId="5461F9FC"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Başvuru sahibi firmaların ekonomik göstergeleri 2022 yılına kadar olumlu seyretmiş olsa da 2022 yılından itibaren ekonomik göstergelerinde bozulmalar olduğu göze çarpmaktadır. Öyle ki, üretim 2022’de 102’ye, 2023’de tekrar azalarak 97’ye düşmüştür. İthalatın yerli üretime oranlanmasıyla elde edilen nispi ithalat ve ithalatın piyasa payı soruşturma dönemi boyunca ve özellikle son yılda artmış, yurtiçi satışlar 2021 yılından sonra önemli ölçüde azalarak 2021’de 120 seviyesindeyken 2022’de 101 seviyesine düşmüştür.</w:t>
      </w:r>
    </w:p>
    <w:p w14:paraId="4DC02CE9" w14:textId="77777777" w:rsidR="00772287" w:rsidRPr="002340FA" w:rsidRDefault="00772287" w:rsidP="00772287">
      <w:pPr>
        <w:spacing w:after="180" w:line="300" w:lineRule="exact"/>
        <w:jc w:val="both"/>
        <w:rPr>
          <w:rFonts w:ascii="Times New Roman" w:eastAsia="Calibri" w:hAnsi="Times New Roman" w:cs="Times New Roman"/>
          <w:sz w:val="24"/>
          <w:szCs w:val="24"/>
        </w:rPr>
      </w:pPr>
      <w:r w:rsidRPr="002340FA">
        <w:rPr>
          <w:rFonts w:ascii="Times New Roman" w:hAnsi="Times New Roman" w:cs="Times New Roman"/>
          <w:sz w:val="24"/>
          <w:szCs w:val="24"/>
        </w:rPr>
        <w:t xml:space="preserve">Diğer yandan, ekonomik göstergelerdeki genel eğilimine paralel olarak 2021 yılında yaklaşık 113 seviyesinde olan kapasite kullanım oranı sonraki dönemlerde 2022’de 102’ye, 2023’de ise 95 seviyesine kadar gerilemiştir. </w:t>
      </w:r>
      <w:r w:rsidRPr="002340FA">
        <w:rPr>
          <w:rFonts w:ascii="Times New Roman" w:eastAsia="Calibri" w:hAnsi="Times New Roman" w:cs="Times New Roman"/>
          <w:sz w:val="24"/>
          <w:szCs w:val="24"/>
        </w:rPr>
        <w:t>Kişi başına üretim miktarını temsil eden verimlilik 2020 yılında en yüksek seviyesine ulaştıktan sonra soruşturma dönemi boyunca sürekli azalmış 2019 yılında 100 olan endeks değeri 2023’de 80’e gerilemiştir.</w:t>
      </w:r>
    </w:p>
    <w:p w14:paraId="6087C3DB"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Faaliyet karının net ciroya oranlanmasıyla elde edilen karlılık ise 2022 yılına kadar pozitif seyretmiş, 2022 yılından itibaren azalmaya başlamıştır. Buna göre, 2021 yılında 704 olan endeks değeri, 2022’te 397’ye, 2023’te -21 seviyesine kadar düşmüştür. Bir diğer ifadeyle karlılık oranı son yılda %105 oranında azalış kaydetmiştir.</w:t>
      </w:r>
    </w:p>
    <w:p w14:paraId="537180E6"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5. Nedensellik bağı</w:t>
      </w:r>
    </w:p>
    <w:p w14:paraId="446AD750"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5.1 Fiyat kırılması ve baskısı</w:t>
      </w:r>
    </w:p>
    <w:p w14:paraId="51D2F725"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 xml:space="preserve">Soruşturma konusu eşyanın ithal birim fiyatlarıyla yurtiçi satış birim fiyatları karşılaştırılmış, soruşturma dönemi boyunca 2021 ve 2023 yılları hariç olmak üzere yurtiçi satış fiyatlarının ithal birim fiyatların altında seyrettiği, ithal birim fiyatların yurtiçi satış birim fiyatlarını kırmadığı görülmüştür. Ancak, 2021 ve 2023 yıllarında yurtiçi satış fiyatlarının ithal birim fiyatların üzerinde olması dolayısıyla fiyat kırılmasının ortaya çıktığı tespit edilmiştir. </w:t>
      </w:r>
    </w:p>
    <w:p w14:paraId="2560338A"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Diğer yandan, %10 makul kar oranı eklenerek elde edilen yurtiçi satış fiyatı verisiyle ithal birim fiyatlar karşılaştırıldığında ise 2019-2022 yılları arasında ithal edilen soruşturma konusu eşyanın, başvuru sahibi firmaların yurtiçi fiyatları üzerinde bir baskı oluşturmadığı fakat 2023 yılında ithal birim fiyatların ciddi bir şekilde düşmesi sonucunda fiyat baskısının olduğu anlaşılmıştır.</w:t>
      </w:r>
    </w:p>
    <w:p w14:paraId="76A5FA97" w14:textId="77777777" w:rsidR="00772287" w:rsidRPr="002340FA" w:rsidRDefault="00772287" w:rsidP="00772287">
      <w:pPr>
        <w:spacing w:after="180" w:line="300" w:lineRule="exact"/>
        <w:jc w:val="both"/>
        <w:rPr>
          <w:rFonts w:ascii="Times New Roman" w:hAnsi="Times New Roman" w:cs="Times New Roman"/>
          <w:sz w:val="24"/>
          <w:szCs w:val="24"/>
        </w:rPr>
      </w:pPr>
    </w:p>
    <w:p w14:paraId="588B5B4E"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lastRenderedPageBreak/>
        <w:t>5.2 Fiyat dışı faktörler</w:t>
      </w:r>
    </w:p>
    <w:p w14:paraId="753AA144"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İthal ürünlerin yerli üretim dalı tarafından üretilen soruşturma konusu eşya karşısında rekabet koşullarını güçleştiren kalite, teknik özellikler, tasarım, tüketici tercihi vb. fiyat dışı faktör bulunmamaktadır.</w:t>
      </w:r>
    </w:p>
    <w:p w14:paraId="6549970D"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5.3 Diğer faktörlerin etkisi</w:t>
      </w:r>
    </w:p>
    <w:p w14:paraId="5334B68C"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 bölümde, soruşturma konusu eşyanın ithalatındaki artış dışında kalan faktörlerin yerli üretim dalı üzerinde zarara yol açıp açmadığı hususu incelenmiştir.</w:t>
      </w:r>
    </w:p>
    <w:p w14:paraId="284BF71F"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Yerli üretim dalının öngörülemeyen gelişmeler kaynaklı 2023 yılında gerçekleşen ani ve keskin ithalat artışından ötürü gördüğü zararın diğer faktörlerden kaynaklanmadığı değerlendirilmektedir. Olası bu faktörlere ilişkin değerlendirmeler aşağıda sunulmaktadır.</w:t>
      </w:r>
    </w:p>
    <w:p w14:paraId="05542713"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İhracatta düşüş: ihracat yerli üretim dalının toplam satışları içinde yerli üretim dalı içinde zarara neden olacak kadar yüksek bir paya sahip değildir. Nitekim Türkiye yurtiçi kâğıt pazarı tüketimin canlı olduğu geniş bir pazar olup ihracat, yerli üretim dalının önceliği konumunda değildir. Bu itibarla, zararın sebebi ihracat satışlarındaki azalmanın yarattığı olası bir zarar değildir.</w:t>
      </w:r>
    </w:p>
    <w:p w14:paraId="086BA9F8"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Tüketimde daralma: Türkiye toplam tüketimi daralmamakta olup, tüketim 2022 yılı hariç olmak üzere sürekli artmıştır. Bununla birlikte, 2019 yılına göre 2023 yılında toplam tüketim %11 oranında artış kaydetmiştir.</w:t>
      </w:r>
    </w:p>
    <w:p w14:paraId="25644D10" w14:textId="77777777" w:rsidR="00772287" w:rsidRPr="002340FA" w:rsidRDefault="00772287" w:rsidP="00772287">
      <w:pPr>
        <w:spacing w:after="180" w:line="300" w:lineRule="exact"/>
        <w:jc w:val="both"/>
        <w:rPr>
          <w:rFonts w:ascii="Times New Roman" w:hAnsi="Times New Roman" w:cs="Times New Roman"/>
          <w:sz w:val="24"/>
          <w:szCs w:val="24"/>
        </w:rPr>
      </w:pPr>
      <w:bookmarkStart w:id="0" w:name="_Hlk147312936"/>
      <w:r w:rsidRPr="002340FA">
        <w:rPr>
          <w:rFonts w:ascii="Times New Roman" w:hAnsi="Times New Roman" w:cs="Times New Roman"/>
          <w:sz w:val="24"/>
          <w:szCs w:val="24"/>
        </w:rPr>
        <w:t>İç piyasada talebi aşan boyutta üretim kapasitesi:</w:t>
      </w:r>
      <w:bookmarkEnd w:id="0"/>
      <w:r w:rsidRPr="002340FA">
        <w:rPr>
          <w:rFonts w:ascii="Times New Roman" w:hAnsi="Times New Roman" w:cs="Times New Roman"/>
          <w:sz w:val="24"/>
          <w:szCs w:val="24"/>
        </w:rPr>
        <w:t xml:space="preserve"> Yerli üretim dalının üretim kapasitesi iç piyasa talebini aşan boyutta olsa da ithalat artışının yaşandığı son döneme kadar makul kapasite kullanım oranları ile zarar etmeden faaliyet gösterilmiştir. Ayrıca, soruşturma dönemi boyunca kapasite cüzi miktarda değişmiştir. Dolayısıyla, görülen zararın nedeni iç piyasada talebi aşan boyutta üretim kapasitesi değildir.</w:t>
      </w:r>
    </w:p>
    <w:p w14:paraId="13ED1A9C"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Alternatif ürünlerin gelişmesi/yeni gelişen teknolojilere ayak uydurulamaması: Yerli üretim dalı ithalatla rekabet edebilecek şekilde başvuru konusu ürünleri üretebilmekte olup bu dönemde getirilen herhangi bir alternatif ürün veya teknoloji olmamıştır. Diğer taraftan yerli üretim dalı tarafından kalite ve teknik özellik itibariyle üretilmeyen ürünler soruşturma kapsamı dışında tutulmuştur.</w:t>
      </w:r>
    </w:p>
    <w:p w14:paraId="0A228434"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Finansman giderlerinde, amortisman giderlerinde ya da diğer giderlerdeki artış: gibi bir durum söz konusu değildir. Zira, finansman, amortisman ve faaliyet giderleri toplamının ticari maliyet içindeki payı soruşturma dönemi süresince aynı seviyede devam etmiştir.</w:t>
      </w:r>
    </w:p>
    <w:p w14:paraId="693674D6"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6 Şubat 2023 depremi: soruşturma dönemi boyunca ithalatın seyri incelendiğinde, 2019 yılında 166,4 bin ton seviyesinde olan ithalatın 2020’de %15 artarak 190,5 bin tona, 2021’de %23 artarak 233,8 bin tona, 2022’de %6 artarak 248 bin tona, 2023’te ise %37 oranında artarak 340,2 bin ton seviyesine yükseldiği görülmektedir. Bununla birlikte, deprem bölgesinde yerleşik Kipaş ve Kahramanmaraş Kâğıt deprem neticesinde bir miktar üretim kaybına uğramış olsa da diğer yerli üreticilerin üretim kapasitelerinin iç talebi karşılayacak düzeyde olması, 2022 yılından devreden stoklarla birlikte 2023 yılında ihracat için ayrılmış malın iç piyasaya arz edilmesi dolayısıyla, arz yönlü sıkıntıdan kaynaklı bir ithalat artışı olmadığı değerlendirilmektedir.</w:t>
      </w:r>
    </w:p>
    <w:p w14:paraId="692D2D8D"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lastRenderedPageBreak/>
        <w:t>6. İlgili taraf görüşlerinin değerlendirilmesi</w:t>
      </w:r>
    </w:p>
    <w:p w14:paraId="05396513"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 kısımda, soruşturma kapsamında ilgili taraflarca dile getirilen görüşler sınıflandırılmıştır. Söz konusu görüşlerin birçok noktada örtüşmesi nedeniyle tekrarı önlemek amacıyla ilgili taraf görüşleri dile getiren taraflara göre değil, ileri sürülen görüşlerin konusuna göre sınıflandırılarak aşağıda sunulmaktadır. Ayrıca, söz konusu görüşlere ilişkin değerlendirmelere de görüşlerin altında yer verilmektedir.</w:t>
      </w:r>
    </w:p>
    <w:p w14:paraId="05E73E22"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b/>
          <w:bCs/>
          <w:sz w:val="24"/>
          <w:szCs w:val="24"/>
        </w:rPr>
        <w:t>Görüş 1:</w:t>
      </w:r>
      <w:r w:rsidRPr="002340FA">
        <w:rPr>
          <w:rFonts w:ascii="Times New Roman" w:hAnsi="Times New Roman" w:cs="Times New Roman"/>
          <w:sz w:val="24"/>
          <w:szCs w:val="24"/>
        </w:rPr>
        <w:t xml:space="preserve"> Yerli üretim dalının inceleme dönemi boyunca ekonomik göstergelerindeki değişimler ele alındığında, korunma önlemi uygulanması için gerekli şartlar oluşmamıştır. Buna göre, zarar etmek bir yana genel olarak yerli üretim dalının oldukça iyi bir durumda olduğu görülmektedir. Öyle ki mutlak ithalat artışı, nispi ithalat artışı ile diğer ekonomik göstergelerde herhangi bir bozulma olmadığı anlaşılmaktadır. Pandemi sonrası dönemde kendini gösteren aşağı yönlü trendin sebebi, nihai ürüne olan tüketici talebinin azalması dolayısıyla paketleme ve lojistik sektörüne ilişkin talebin azalması nedeniyle paketleme ve lojistik işinde kullanılan kâğıdın arzının azalarak başvuru sahibi firmaların ekonomik göstergelerinde bozulmaya yol açmasıdır.</w:t>
      </w:r>
    </w:p>
    <w:p w14:paraId="1347429F"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b/>
          <w:bCs/>
          <w:sz w:val="24"/>
          <w:szCs w:val="24"/>
        </w:rPr>
        <w:t>Cevap 1:</w:t>
      </w:r>
      <w:r w:rsidRPr="002340FA">
        <w:rPr>
          <w:rFonts w:ascii="Times New Roman" w:hAnsi="Times New Roman" w:cs="Times New Roman"/>
          <w:sz w:val="24"/>
          <w:szCs w:val="24"/>
        </w:rPr>
        <w:t xml:space="preserve"> 3. bölümde yer alan “ithalat artışı ve ithalatın gerçekleşme koşulları” başlığı ile 4. bölümde yer alan “ciddi zarar ve ciddi zarar tehdidi” başlıkları altında yerli üreticinin ekonomik göstergeleri ve yerli üretim dalının ithalat verileri ile konsolide edilen piyasa verilerine ilişkin değerlendirmeler bulunmakta olup yerli üreticinin ekonomik göstergeleri detaylı bir şekilde incelenmiş, mutlak ithalat, nispi ithalat ve ithalatın piyasa payının soruşturma dönemi boyunca artış kaydettiği tespit edilmiştir. </w:t>
      </w:r>
    </w:p>
    <w:p w14:paraId="2FD37DF1"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Bununla birlikte, dünya genelinde pandemi döneminde edinilmiş ve pandemi sonrası dönemde pekiştirilmiş alışveriş ve tüketim alışkanlıklarından vazgeçilmemiş, halihazırda yükselmekte olan e-ticaret trendi pandemiyle birlikte hem tüketici hem üretici açısından yukarı yönlü ivme kazanmış, öyle ki öncesinde e-ticareti kullanmamış kimseler olan, geleneksel yollarla satış yapan üretici ile alış yapan tüketici ilk kez dijital platformlarda buluşmuş, böylelikle tüketici birçok seçenek arasından gelişen lojistik imkanlar (aynı gün teslimat vb.) ve güvenli ödeme seçenekleriyle birlikte faydasını maksimize edebilme, üretici ise karını maksimize edebilme şansı bulmuştur. Buna göre, dünya çapında e-ticaret hacmi 2017-2027 döneminde en büyük artışı pandeminin başladığı 2020 yılında kaydetmiş, sonrasında sektör büyümeye devam etmiştir.</w:t>
      </w:r>
    </w:p>
    <w:tbl>
      <w:tblPr>
        <w:tblW w:w="9062" w:type="dxa"/>
        <w:tblCellMar>
          <w:left w:w="70" w:type="dxa"/>
          <w:right w:w="70" w:type="dxa"/>
        </w:tblCellMar>
        <w:tblLook w:val="04A0" w:firstRow="1" w:lastRow="0" w:firstColumn="1" w:lastColumn="0" w:noHBand="0" w:noVBand="1"/>
      </w:tblPr>
      <w:tblGrid>
        <w:gridCol w:w="1291"/>
        <w:gridCol w:w="680"/>
        <w:gridCol w:w="680"/>
        <w:gridCol w:w="680"/>
        <w:gridCol w:w="680"/>
        <w:gridCol w:w="680"/>
        <w:gridCol w:w="680"/>
        <w:gridCol w:w="680"/>
        <w:gridCol w:w="680"/>
        <w:gridCol w:w="680"/>
        <w:gridCol w:w="680"/>
        <w:gridCol w:w="971"/>
      </w:tblGrid>
      <w:tr w:rsidR="00772287" w:rsidRPr="002340FA" w14:paraId="32B7DB95" w14:textId="77777777" w:rsidTr="00D0295E">
        <w:trPr>
          <w:trHeight w:val="315"/>
        </w:trPr>
        <w:tc>
          <w:tcPr>
            <w:tcW w:w="9062" w:type="dxa"/>
            <w:gridSpan w:val="12"/>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5F935885" w14:textId="77777777" w:rsidR="00772287" w:rsidRPr="002340FA" w:rsidRDefault="00772287" w:rsidP="00D0295E">
            <w:pPr>
              <w:spacing w:after="0" w:line="240" w:lineRule="auto"/>
              <w:jc w:val="center"/>
              <w:rPr>
                <w:rFonts w:ascii="Times New Roman" w:eastAsia="Times New Roman" w:hAnsi="Times New Roman" w:cs="Times New Roman"/>
                <w:b/>
                <w:bCs/>
                <w:sz w:val="24"/>
                <w:szCs w:val="24"/>
                <w:lang w:eastAsia="tr-TR"/>
              </w:rPr>
            </w:pPr>
            <w:r w:rsidRPr="002340FA">
              <w:rPr>
                <w:rFonts w:ascii="Times New Roman" w:eastAsia="Times New Roman" w:hAnsi="Times New Roman" w:cs="Times New Roman"/>
                <w:b/>
                <w:bCs/>
                <w:sz w:val="24"/>
                <w:szCs w:val="24"/>
                <w:lang w:eastAsia="tr-TR"/>
              </w:rPr>
              <w:t>Dünya Çapında E-Ticaret Hacmi</w:t>
            </w:r>
          </w:p>
        </w:tc>
      </w:tr>
      <w:tr w:rsidR="00772287" w:rsidRPr="002340FA" w14:paraId="08AB9790" w14:textId="77777777" w:rsidTr="00D0295E">
        <w:trPr>
          <w:trHeight w:val="315"/>
        </w:trPr>
        <w:tc>
          <w:tcPr>
            <w:tcW w:w="1291" w:type="dxa"/>
            <w:tcBorders>
              <w:top w:val="nil"/>
              <w:left w:val="single" w:sz="8" w:space="0" w:color="auto"/>
              <w:bottom w:val="single" w:sz="4" w:space="0" w:color="auto"/>
              <w:right w:val="single" w:sz="4" w:space="0" w:color="auto"/>
            </w:tcBorders>
            <w:shd w:val="clear" w:color="auto" w:fill="auto"/>
            <w:noWrap/>
            <w:vAlign w:val="center"/>
            <w:hideMark/>
          </w:tcPr>
          <w:p w14:paraId="526FA0DE" w14:textId="77777777" w:rsidR="00772287" w:rsidRPr="002340FA" w:rsidRDefault="00772287" w:rsidP="00D0295E">
            <w:pPr>
              <w:spacing w:after="0" w:line="240" w:lineRule="auto"/>
              <w:rPr>
                <w:rFonts w:ascii="Times New Roman" w:eastAsia="Times New Roman" w:hAnsi="Times New Roman" w:cs="Times New Roman"/>
                <w:b/>
                <w:bCs/>
                <w:sz w:val="24"/>
                <w:szCs w:val="24"/>
                <w:lang w:eastAsia="tr-TR"/>
              </w:rPr>
            </w:pPr>
            <w:r w:rsidRPr="002340FA">
              <w:rPr>
                <w:rFonts w:ascii="Times New Roman" w:eastAsia="Times New Roman" w:hAnsi="Times New Roman" w:cs="Times New Roman"/>
                <w:b/>
                <w:bCs/>
                <w:sz w:val="24"/>
                <w:szCs w:val="24"/>
                <w:lang w:eastAsia="tr-TR"/>
              </w:rPr>
              <w:t>Yıllar</w:t>
            </w:r>
          </w:p>
        </w:tc>
        <w:tc>
          <w:tcPr>
            <w:tcW w:w="680" w:type="dxa"/>
            <w:tcBorders>
              <w:top w:val="nil"/>
              <w:left w:val="nil"/>
              <w:bottom w:val="single" w:sz="4" w:space="0" w:color="auto"/>
              <w:right w:val="single" w:sz="4" w:space="0" w:color="auto"/>
            </w:tcBorders>
            <w:shd w:val="clear" w:color="auto" w:fill="auto"/>
            <w:noWrap/>
            <w:vAlign w:val="center"/>
            <w:hideMark/>
          </w:tcPr>
          <w:p w14:paraId="1F7B5844"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2017</w:t>
            </w:r>
          </w:p>
        </w:tc>
        <w:tc>
          <w:tcPr>
            <w:tcW w:w="680" w:type="dxa"/>
            <w:tcBorders>
              <w:top w:val="nil"/>
              <w:left w:val="nil"/>
              <w:bottom w:val="single" w:sz="4" w:space="0" w:color="auto"/>
              <w:right w:val="single" w:sz="4" w:space="0" w:color="auto"/>
            </w:tcBorders>
            <w:shd w:val="clear" w:color="auto" w:fill="auto"/>
            <w:noWrap/>
            <w:vAlign w:val="center"/>
            <w:hideMark/>
          </w:tcPr>
          <w:p w14:paraId="59F5E698"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2018</w:t>
            </w:r>
          </w:p>
        </w:tc>
        <w:tc>
          <w:tcPr>
            <w:tcW w:w="680" w:type="dxa"/>
            <w:tcBorders>
              <w:top w:val="nil"/>
              <w:left w:val="nil"/>
              <w:bottom w:val="single" w:sz="4" w:space="0" w:color="auto"/>
              <w:right w:val="single" w:sz="4" w:space="0" w:color="auto"/>
            </w:tcBorders>
            <w:shd w:val="clear" w:color="auto" w:fill="auto"/>
            <w:noWrap/>
            <w:vAlign w:val="center"/>
            <w:hideMark/>
          </w:tcPr>
          <w:p w14:paraId="499C3068"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2019</w:t>
            </w:r>
          </w:p>
        </w:tc>
        <w:tc>
          <w:tcPr>
            <w:tcW w:w="680" w:type="dxa"/>
            <w:tcBorders>
              <w:top w:val="nil"/>
              <w:left w:val="nil"/>
              <w:bottom w:val="single" w:sz="4" w:space="0" w:color="auto"/>
              <w:right w:val="single" w:sz="4" w:space="0" w:color="auto"/>
            </w:tcBorders>
            <w:shd w:val="clear" w:color="auto" w:fill="auto"/>
            <w:noWrap/>
            <w:vAlign w:val="center"/>
            <w:hideMark/>
          </w:tcPr>
          <w:p w14:paraId="07F9E1CC"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2020</w:t>
            </w:r>
          </w:p>
        </w:tc>
        <w:tc>
          <w:tcPr>
            <w:tcW w:w="680" w:type="dxa"/>
            <w:tcBorders>
              <w:top w:val="nil"/>
              <w:left w:val="nil"/>
              <w:bottom w:val="single" w:sz="4" w:space="0" w:color="auto"/>
              <w:right w:val="single" w:sz="4" w:space="0" w:color="auto"/>
            </w:tcBorders>
            <w:shd w:val="clear" w:color="auto" w:fill="auto"/>
            <w:noWrap/>
            <w:vAlign w:val="center"/>
            <w:hideMark/>
          </w:tcPr>
          <w:p w14:paraId="185804B0"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2021</w:t>
            </w:r>
          </w:p>
        </w:tc>
        <w:tc>
          <w:tcPr>
            <w:tcW w:w="680" w:type="dxa"/>
            <w:tcBorders>
              <w:top w:val="nil"/>
              <w:left w:val="nil"/>
              <w:bottom w:val="single" w:sz="4" w:space="0" w:color="auto"/>
              <w:right w:val="single" w:sz="4" w:space="0" w:color="auto"/>
            </w:tcBorders>
            <w:shd w:val="clear" w:color="auto" w:fill="auto"/>
            <w:noWrap/>
            <w:vAlign w:val="center"/>
            <w:hideMark/>
          </w:tcPr>
          <w:p w14:paraId="03B8828C"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2022</w:t>
            </w:r>
          </w:p>
        </w:tc>
        <w:tc>
          <w:tcPr>
            <w:tcW w:w="680" w:type="dxa"/>
            <w:tcBorders>
              <w:top w:val="nil"/>
              <w:left w:val="nil"/>
              <w:bottom w:val="single" w:sz="4" w:space="0" w:color="auto"/>
              <w:right w:val="single" w:sz="4" w:space="0" w:color="auto"/>
            </w:tcBorders>
            <w:shd w:val="clear" w:color="auto" w:fill="auto"/>
            <w:noWrap/>
            <w:vAlign w:val="center"/>
            <w:hideMark/>
          </w:tcPr>
          <w:p w14:paraId="5874E796"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2023</w:t>
            </w:r>
          </w:p>
        </w:tc>
        <w:tc>
          <w:tcPr>
            <w:tcW w:w="680" w:type="dxa"/>
            <w:tcBorders>
              <w:top w:val="nil"/>
              <w:left w:val="nil"/>
              <w:bottom w:val="single" w:sz="4" w:space="0" w:color="auto"/>
              <w:right w:val="single" w:sz="4" w:space="0" w:color="auto"/>
            </w:tcBorders>
            <w:shd w:val="clear" w:color="auto" w:fill="auto"/>
            <w:noWrap/>
            <w:vAlign w:val="center"/>
            <w:hideMark/>
          </w:tcPr>
          <w:p w14:paraId="17E53E36"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2024</w:t>
            </w:r>
          </w:p>
        </w:tc>
        <w:tc>
          <w:tcPr>
            <w:tcW w:w="680" w:type="dxa"/>
            <w:tcBorders>
              <w:top w:val="nil"/>
              <w:left w:val="nil"/>
              <w:bottom w:val="single" w:sz="4" w:space="0" w:color="auto"/>
              <w:right w:val="single" w:sz="4" w:space="0" w:color="auto"/>
            </w:tcBorders>
            <w:shd w:val="clear" w:color="auto" w:fill="auto"/>
            <w:noWrap/>
            <w:vAlign w:val="center"/>
            <w:hideMark/>
          </w:tcPr>
          <w:p w14:paraId="5090537D"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2025</w:t>
            </w:r>
          </w:p>
        </w:tc>
        <w:tc>
          <w:tcPr>
            <w:tcW w:w="680" w:type="dxa"/>
            <w:tcBorders>
              <w:top w:val="nil"/>
              <w:left w:val="nil"/>
              <w:bottom w:val="single" w:sz="4" w:space="0" w:color="auto"/>
              <w:right w:val="single" w:sz="4" w:space="0" w:color="auto"/>
            </w:tcBorders>
            <w:shd w:val="clear" w:color="auto" w:fill="auto"/>
            <w:noWrap/>
            <w:vAlign w:val="center"/>
            <w:hideMark/>
          </w:tcPr>
          <w:p w14:paraId="4BDFD340"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2026</w:t>
            </w:r>
          </w:p>
        </w:tc>
        <w:tc>
          <w:tcPr>
            <w:tcW w:w="971" w:type="dxa"/>
            <w:tcBorders>
              <w:top w:val="nil"/>
              <w:left w:val="nil"/>
              <w:bottom w:val="single" w:sz="4" w:space="0" w:color="auto"/>
              <w:right w:val="single" w:sz="8" w:space="0" w:color="auto"/>
            </w:tcBorders>
            <w:shd w:val="clear" w:color="auto" w:fill="auto"/>
            <w:noWrap/>
            <w:vAlign w:val="center"/>
            <w:hideMark/>
          </w:tcPr>
          <w:p w14:paraId="64B82D38"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2027</w:t>
            </w:r>
          </w:p>
        </w:tc>
      </w:tr>
      <w:tr w:rsidR="00772287" w:rsidRPr="002340FA" w14:paraId="42AE3507" w14:textId="77777777" w:rsidTr="00D0295E">
        <w:trPr>
          <w:trHeight w:val="315"/>
        </w:trPr>
        <w:tc>
          <w:tcPr>
            <w:tcW w:w="1291" w:type="dxa"/>
            <w:tcBorders>
              <w:top w:val="nil"/>
              <w:left w:val="single" w:sz="8" w:space="0" w:color="auto"/>
              <w:bottom w:val="single" w:sz="4" w:space="0" w:color="auto"/>
              <w:right w:val="single" w:sz="4" w:space="0" w:color="auto"/>
            </w:tcBorders>
            <w:shd w:val="clear" w:color="auto" w:fill="auto"/>
            <w:noWrap/>
            <w:vAlign w:val="center"/>
            <w:hideMark/>
          </w:tcPr>
          <w:p w14:paraId="39E2171A" w14:textId="77777777" w:rsidR="00772287" w:rsidRPr="002340FA" w:rsidRDefault="00772287" w:rsidP="00D0295E">
            <w:pPr>
              <w:spacing w:after="0" w:line="240" w:lineRule="auto"/>
              <w:rPr>
                <w:rFonts w:ascii="Times New Roman" w:eastAsia="Times New Roman" w:hAnsi="Times New Roman" w:cs="Times New Roman"/>
                <w:b/>
                <w:bCs/>
                <w:sz w:val="24"/>
                <w:szCs w:val="24"/>
                <w:lang w:eastAsia="tr-TR"/>
              </w:rPr>
            </w:pPr>
            <w:r w:rsidRPr="002340FA">
              <w:rPr>
                <w:rFonts w:ascii="Times New Roman" w:eastAsia="Times New Roman" w:hAnsi="Times New Roman" w:cs="Times New Roman"/>
                <w:b/>
                <w:bCs/>
                <w:sz w:val="24"/>
                <w:szCs w:val="24"/>
                <w:lang w:eastAsia="tr-TR"/>
              </w:rPr>
              <w:t>Milyar $</w:t>
            </w:r>
          </w:p>
        </w:tc>
        <w:tc>
          <w:tcPr>
            <w:tcW w:w="680" w:type="dxa"/>
            <w:tcBorders>
              <w:top w:val="nil"/>
              <w:left w:val="nil"/>
              <w:bottom w:val="single" w:sz="4" w:space="0" w:color="auto"/>
              <w:right w:val="single" w:sz="4" w:space="0" w:color="auto"/>
            </w:tcBorders>
            <w:shd w:val="clear" w:color="auto" w:fill="auto"/>
            <w:noWrap/>
            <w:vAlign w:val="center"/>
            <w:hideMark/>
          </w:tcPr>
          <w:p w14:paraId="319D053B"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2.382</w:t>
            </w:r>
          </w:p>
        </w:tc>
        <w:tc>
          <w:tcPr>
            <w:tcW w:w="680" w:type="dxa"/>
            <w:tcBorders>
              <w:top w:val="nil"/>
              <w:left w:val="nil"/>
              <w:bottom w:val="single" w:sz="4" w:space="0" w:color="auto"/>
              <w:right w:val="single" w:sz="4" w:space="0" w:color="auto"/>
            </w:tcBorders>
            <w:shd w:val="clear" w:color="auto" w:fill="auto"/>
            <w:noWrap/>
            <w:vAlign w:val="center"/>
            <w:hideMark/>
          </w:tcPr>
          <w:p w14:paraId="6FDE7888"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2.982</w:t>
            </w:r>
          </w:p>
        </w:tc>
        <w:tc>
          <w:tcPr>
            <w:tcW w:w="680" w:type="dxa"/>
            <w:tcBorders>
              <w:top w:val="nil"/>
              <w:left w:val="nil"/>
              <w:bottom w:val="single" w:sz="4" w:space="0" w:color="auto"/>
              <w:right w:val="single" w:sz="4" w:space="0" w:color="auto"/>
            </w:tcBorders>
            <w:shd w:val="clear" w:color="auto" w:fill="auto"/>
            <w:noWrap/>
            <w:vAlign w:val="center"/>
            <w:hideMark/>
          </w:tcPr>
          <w:p w14:paraId="44C2D9EA"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3.351</w:t>
            </w:r>
          </w:p>
        </w:tc>
        <w:tc>
          <w:tcPr>
            <w:tcW w:w="680" w:type="dxa"/>
            <w:tcBorders>
              <w:top w:val="nil"/>
              <w:left w:val="nil"/>
              <w:bottom w:val="single" w:sz="4" w:space="0" w:color="auto"/>
              <w:right w:val="single" w:sz="4" w:space="0" w:color="auto"/>
            </w:tcBorders>
            <w:shd w:val="clear" w:color="auto" w:fill="auto"/>
            <w:noWrap/>
            <w:vAlign w:val="center"/>
            <w:hideMark/>
          </w:tcPr>
          <w:p w14:paraId="022EBE0D"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4.248</w:t>
            </w:r>
          </w:p>
        </w:tc>
        <w:tc>
          <w:tcPr>
            <w:tcW w:w="680" w:type="dxa"/>
            <w:tcBorders>
              <w:top w:val="nil"/>
              <w:left w:val="nil"/>
              <w:bottom w:val="single" w:sz="4" w:space="0" w:color="auto"/>
              <w:right w:val="single" w:sz="4" w:space="0" w:color="auto"/>
            </w:tcBorders>
            <w:shd w:val="clear" w:color="auto" w:fill="auto"/>
            <w:noWrap/>
            <w:vAlign w:val="center"/>
            <w:hideMark/>
          </w:tcPr>
          <w:p w14:paraId="563DBC9B"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4.988</w:t>
            </w:r>
          </w:p>
        </w:tc>
        <w:tc>
          <w:tcPr>
            <w:tcW w:w="680" w:type="dxa"/>
            <w:tcBorders>
              <w:top w:val="nil"/>
              <w:left w:val="nil"/>
              <w:bottom w:val="single" w:sz="4" w:space="0" w:color="auto"/>
              <w:right w:val="single" w:sz="4" w:space="0" w:color="auto"/>
            </w:tcBorders>
            <w:shd w:val="clear" w:color="auto" w:fill="auto"/>
            <w:noWrap/>
            <w:vAlign w:val="center"/>
            <w:hideMark/>
          </w:tcPr>
          <w:p w14:paraId="197975E2"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5.311</w:t>
            </w:r>
          </w:p>
        </w:tc>
        <w:tc>
          <w:tcPr>
            <w:tcW w:w="680" w:type="dxa"/>
            <w:tcBorders>
              <w:top w:val="nil"/>
              <w:left w:val="nil"/>
              <w:bottom w:val="single" w:sz="4" w:space="0" w:color="auto"/>
              <w:right w:val="single" w:sz="4" w:space="0" w:color="auto"/>
            </w:tcBorders>
            <w:shd w:val="clear" w:color="auto" w:fill="auto"/>
            <w:noWrap/>
            <w:vAlign w:val="center"/>
            <w:hideMark/>
          </w:tcPr>
          <w:p w14:paraId="63AC14F9"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5.784</w:t>
            </w:r>
          </w:p>
        </w:tc>
        <w:tc>
          <w:tcPr>
            <w:tcW w:w="680" w:type="dxa"/>
            <w:tcBorders>
              <w:top w:val="nil"/>
              <w:left w:val="nil"/>
              <w:bottom w:val="single" w:sz="4" w:space="0" w:color="auto"/>
              <w:right w:val="single" w:sz="4" w:space="0" w:color="auto"/>
            </w:tcBorders>
            <w:shd w:val="clear" w:color="auto" w:fill="auto"/>
            <w:noWrap/>
            <w:vAlign w:val="center"/>
            <w:hideMark/>
          </w:tcPr>
          <w:p w14:paraId="5BAD854C"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6.330</w:t>
            </w:r>
          </w:p>
        </w:tc>
        <w:tc>
          <w:tcPr>
            <w:tcW w:w="680" w:type="dxa"/>
            <w:tcBorders>
              <w:top w:val="nil"/>
              <w:left w:val="nil"/>
              <w:bottom w:val="single" w:sz="4" w:space="0" w:color="auto"/>
              <w:right w:val="single" w:sz="4" w:space="0" w:color="auto"/>
            </w:tcBorders>
            <w:shd w:val="clear" w:color="auto" w:fill="auto"/>
            <w:noWrap/>
            <w:vAlign w:val="center"/>
            <w:hideMark/>
          </w:tcPr>
          <w:p w14:paraId="2ADFA394"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6.876</w:t>
            </w:r>
          </w:p>
        </w:tc>
        <w:tc>
          <w:tcPr>
            <w:tcW w:w="680" w:type="dxa"/>
            <w:tcBorders>
              <w:top w:val="nil"/>
              <w:left w:val="nil"/>
              <w:bottom w:val="single" w:sz="4" w:space="0" w:color="auto"/>
              <w:right w:val="single" w:sz="4" w:space="0" w:color="auto"/>
            </w:tcBorders>
            <w:shd w:val="clear" w:color="auto" w:fill="auto"/>
            <w:noWrap/>
            <w:vAlign w:val="center"/>
            <w:hideMark/>
          </w:tcPr>
          <w:p w14:paraId="60933EFA"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7.467</w:t>
            </w:r>
          </w:p>
        </w:tc>
        <w:tc>
          <w:tcPr>
            <w:tcW w:w="971" w:type="dxa"/>
            <w:tcBorders>
              <w:top w:val="nil"/>
              <w:left w:val="nil"/>
              <w:bottom w:val="single" w:sz="4" w:space="0" w:color="auto"/>
              <w:right w:val="single" w:sz="8" w:space="0" w:color="auto"/>
            </w:tcBorders>
            <w:shd w:val="clear" w:color="auto" w:fill="auto"/>
            <w:noWrap/>
            <w:vAlign w:val="center"/>
            <w:hideMark/>
          </w:tcPr>
          <w:p w14:paraId="0BE3F156"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8.034</w:t>
            </w:r>
          </w:p>
        </w:tc>
      </w:tr>
      <w:tr w:rsidR="00772287" w:rsidRPr="002340FA" w14:paraId="2F832E87" w14:textId="77777777" w:rsidTr="00D0295E">
        <w:trPr>
          <w:trHeight w:val="330"/>
        </w:trPr>
        <w:tc>
          <w:tcPr>
            <w:tcW w:w="1291" w:type="dxa"/>
            <w:tcBorders>
              <w:top w:val="nil"/>
              <w:left w:val="single" w:sz="8" w:space="0" w:color="auto"/>
              <w:bottom w:val="single" w:sz="8" w:space="0" w:color="auto"/>
              <w:right w:val="single" w:sz="4" w:space="0" w:color="auto"/>
            </w:tcBorders>
            <w:shd w:val="clear" w:color="auto" w:fill="auto"/>
            <w:noWrap/>
            <w:vAlign w:val="center"/>
            <w:hideMark/>
          </w:tcPr>
          <w:p w14:paraId="30351DA5" w14:textId="77777777" w:rsidR="00772287" w:rsidRPr="002340FA" w:rsidRDefault="00772287" w:rsidP="00D0295E">
            <w:pPr>
              <w:spacing w:after="0" w:line="240" w:lineRule="auto"/>
              <w:rPr>
                <w:rFonts w:ascii="Times New Roman" w:eastAsia="Times New Roman" w:hAnsi="Times New Roman" w:cs="Times New Roman"/>
                <w:b/>
                <w:bCs/>
                <w:sz w:val="24"/>
                <w:szCs w:val="24"/>
                <w:lang w:eastAsia="tr-TR"/>
              </w:rPr>
            </w:pPr>
            <w:r w:rsidRPr="002340FA">
              <w:rPr>
                <w:rFonts w:ascii="Times New Roman" w:eastAsia="Times New Roman" w:hAnsi="Times New Roman" w:cs="Times New Roman"/>
                <w:b/>
                <w:bCs/>
                <w:sz w:val="24"/>
                <w:szCs w:val="24"/>
                <w:lang w:eastAsia="tr-TR"/>
              </w:rPr>
              <w:t>Değişim %</w:t>
            </w:r>
          </w:p>
        </w:tc>
        <w:tc>
          <w:tcPr>
            <w:tcW w:w="680" w:type="dxa"/>
            <w:tcBorders>
              <w:top w:val="nil"/>
              <w:left w:val="nil"/>
              <w:bottom w:val="single" w:sz="8" w:space="0" w:color="auto"/>
              <w:right w:val="single" w:sz="4" w:space="0" w:color="auto"/>
            </w:tcBorders>
            <w:shd w:val="clear" w:color="auto" w:fill="auto"/>
            <w:noWrap/>
            <w:vAlign w:val="center"/>
            <w:hideMark/>
          </w:tcPr>
          <w:p w14:paraId="00BEFD17"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w:t>
            </w:r>
          </w:p>
        </w:tc>
        <w:tc>
          <w:tcPr>
            <w:tcW w:w="680" w:type="dxa"/>
            <w:tcBorders>
              <w:top w:val="nil"/>
              <w:left w:val="nil"/>
              <w:bottom w:val="single" w:sz="8" w:space="0" w:color="auto"/>
              <w:right w:val="single" w:sz="4" w:space="0" w:color="auto"/>
            </w:tcBorders>
            <w:shd w:val="clear" w:color="auto" w:fill="auto"/>
            <w:noWrap/>
            <w:vAlign w:val="center"/>
            <w:hideMark/>
          </w:tcPr>
          <w:p w14:paraId="3A000D09"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25</w:t>
            </w:r>
          </w:p>
        </w:tc>
        <w:tc>
          <w:tcPr>
            <w:tcW w:w="680" w:type="dxa"/>
            <w:tcBorders>
              <w:top w:val="nil"/>
              <w:left w:val="nil"/>
              <w:bottom w:val="single" w:sz="8" w:space="0" w:color="auto"/>
              <w:right w:val="single" w:sz="4" w:space="0" w:color="auto"/>
            </w:tcBorders>
            <w:shd w:val="clear" w:color="auto" w:fill="auto"/>
            <w:noWrap/>
            <w:vAlign w:val="center"/>
            <w:hideMark/>
          </w:tcPr>
          <w:p w14:paraId="2F00D628"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12</w:t>
            </w:r>
          </w:p>
        </w:tc>
        <w:tc>
          <w:tcPr>
            <w:tcW w:w="680" w:type="dxa"/>
            <w:tcBorders>
              <w:top w:val="nil"/>
              <w:left w:val="nil"/>
              <w:bottom w:val="single" w:sz="8" w:space="0" w:color="auto"/>
              <w:right w:val="single" w:sz="4" w:space="0" w:color="auto"/>
            </w:tcBorders>
            <w:shd w:val="clear" w:color="auto" w:fill="auto"/>
            <w:noWrap/>
            <w:vAlign w:val="center"/>
            <w:hideMark/>
          </w:tcPr>
          <w:p w14:paraId="4E249133"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27</w:t>
            </w:r>
          </w:p>
        </w:tc>
        <w:tc>
          <w:tcPr>
            <w:tcW w:w="680" w:type="dxa"/>
            <w:tcBorders>
              <w:top w:val="nil"/>
              <w:left w:val="nil"/>
              <w:bottom w:val="single" w:sz="8" w:space="0" w:color="auto"/>
              <w:right w:val="single" w:sz="4" w:space="0" w:color="auto"/>
            </w:tcBorders>
            <w:shd w:val="clear" w:color="auto" w:fill="auto"/>
            <w:noWrap/>
            <w:vAlign w:val="center"/>
            <w:hideMark/>
          </w:tcPr>
          <w:p w14:paraId="6BE3351B"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17</w:t>
            </w:r>
          </w:p>
        </w:tc>
        <w:tc>
          <w:tcPr>
            <w:tcW w:w="680" w:type="dxa"/>
            <w:tcBorders>
              <w:top w:val="nil"/>
              <w:left w:val="nil"/>
              <w:bottom w:val="single" w:sz="8" w:space="0" w:color="auto"/>
              <w:right w:val="single" w:sz="4" w:space="0" w:color="auto"/>
            </w:tcBorders>
            <w:shd w:val="clear" w:color="auto" w:fill="auto"/>
            <w:noWrap/>
            <w:vAlign w:val="center"/>
            <w:hideMark/>
          </w:tcPr>
          <w:p w14:paraId="06793603"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6</w:t>
            </w:r>
          </w:p>
        </w:tc>
        <w:tc>
          <w:tcPr>
            <w:tcW w:w="680" w:type="dxa"/>
            <w:tcBorders>
              <w:top w:val="nil"/>
              <w:left w:val="nil"/>
              <w:bottom w:val="single" w:sz="8" w:space="0" w:color="auto"/>
              <w:right w:val="single" w:sz="4" w:space="0" w:color="auto"/>
            </w:tcBorders>
            <w:shd w:val="clear" w:color="auto" w:fill="auto"/>
            <w:noWrap/>
            <w:vAlign w:val="center"/>
            <w:hideMark/>
          </w:tcPr>
          <w:p w14:paraId="7319C576"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9</w:t>
            </w:r>
          </w:p>
        </w:tc>
        <w:tc>
          <w:tcPr>
            <w:tcW w:w="680" w:type="dxa"/>
            <w:tcBorders>
              <w:top w:val="nil"/>
              <w:left w:val="nil"/>
              <w:bottom w:val="single" w:sz="8" w:space="0" w:color="auto"/>
              <w:right w:val="single" w:sz="4" w:space="0" w:color="auto"/>
            </w:tcBorders>
            <w:shd w:val="clear" w:color="auto" w:fill="auto"/>
            <w:noWrap/>
            <w:vAlign w:val="center"/>
            <w:hideMark/>
          </w:tcPr>
          <w:p w14:paraId="3EB93ECC"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9</w:t>
            </w:r>
          </w:p>
        </w:tc>
        <w:tc>
          <w:tcPr>
            <w:tcW w:w="680" w:type="dxa"/>
            <w:tcBorders>
              <w:top w:val="nil"/>
              <w:left w:val="nil"/>
              <w:bottom w:val="single" w:sz="8" w:space="0" w:color="auto"/>
              <w:right w:val="single" w:sz="4" w:space="0" w:color="auto"/>
            </w:tcBorders>
            <w:shd w:val="clear" w:color="auto" w:fill="auto"/>
            <w:noWrap/>
            <w:vAlign w:val="center"/>
            <w:hideMark/>
          </w:tcPr>
          <w:p w14:paraId="63AAE68F"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9</w:t>
            </w:r>
          </w:p>
        </w:tc>
        <w:tc>
          <w:tcPr>
            <w:tcW w:w="680" w:type="dxa"/>
            <w:tcBorders>
              <w:top w:val="nil"/>
              <w:left w:val="nil"/>
              <w:bottom w:val="single" w:sz="8" w:space="0" w:color="auto"/>
              <w:right w:val="single" w:sz="4" w:space="0" w:color="auto"/>
            </w:tcBorders>
            <w:shd w:val="clear" w:color="auto" w:fill="auto"/>
            <w:noWrap/>
            <w:vAlign w:val="center"/>
            <w:hideMark/>
          </w:tcPr>
          <w:p w14:paraId="2E5BDC9C"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9</w:t>
            </w:r>
          </w:p>
        </w:tc>
        <w:tc>
          <w:tcPr>
            <w:tcW w:w="971" w:type="dxa"/>
            <w:tcBorders>
              <w:top w:val="nil"/>
              <w:left w:val="nil"/>
              <w:bottom w:val="single" w:sz="8" w:space="0" w:color="auto"/>
              <w:right w:val="single" w:sz="8" w:space="0" w:color="auto"/>
            </w:tcBorders>
            <w:shd w:val="clear" w:color="auto" w:fill="auto"/>
            <w:noWrap/>
            <w:vAlign w:val="center"/>
            <w:hideMark/>
          </w:tcPr>
          <w:p w14:paraId="152B0C4A" w14:textId="77777777" w:rsidR="00772287" w:rsidRPr="002340FA" w:rsidRDefault="00772287" w:rsidP="00D0295E">
            <w:pPr>
              <w:spacing w:after="0" w:line="240" w:lineRule="auto"/>
              <w:jc w:val="center"/>
              <w:rPr>
                <w:rFonts w:ascii="Times New Roman" w:eastAsia="Times New Roman" w:hAnsi="Times New Roman" w:cs="Times New Roman"/>
                <w:sz w:val="24"/>
                <w:szCs w:val="24"/>
                <w:lang w:eastAsia="tr-TR"/>
              </w:rPr>
            </w:pPr>
            <w:r w:rsidRPr="002340FA">
              <w:rPr>
                <w:rFonts w:ascii="Times New Roman" w:eastAsia="Times New Roman" w:hAnsi="Times New Roman" w:cs="Times New Roman"/>
                <w:sz w:val="24"/>
                <w:szCs w:val="24"/>
                <w:lang w:eastAsia="tr-TR"/>
              </w:rPr>
              <w:t>8</w:t>
            </w:r>
          </w:p>
        </w:tc>
      </w:tr>
    </w:tbl>
    <w:p w14:paraId="569CBAFF" w14:textId="77777777" w:rsidR="00772287" w:rsidRPr="002340FA" w:rsidRDefault="00772287" w:rsidP="00772287">
      <w:pPr>
        <w:spacing w:after="0" w:line="280" w:lineRule="exact"/>
        <w:jc w:val="both"/>
        <w:rPr>
          <w:rFonts w:ascii="Times New Roman" w:eastAsia="Calibri" w:hAnsi="Times New Roman" w:cs="Times New Roman"/>
          <w:i/>
          <w:iCs/>
          <w:sz w:val="16"/>
          <w:szCs w:val="16"/>
        </w:rPr>
      </w:pPr>
      <w:r w:rsidRPr="002340FA">
        <w:rPr>
          <w:rFonts w:ascii="Times New Roman" w:eastAsia="Calibri" w:hAnsi="Times New Roman" w:cs="Times New Roman"/>
          <w:i/>
          <w:iCs/>
          <w:sz w:val="16"/>
          <w:szCs w:val="16"/>
        </w:rPr>
        <w:t xml:space="preserve">*2023 yılı itibarıyla gerçekleşmesi öngörülen sayılar kullanılmış olup </w:t>
      </w:r>
      <w:hyperlink r:id="rId9" w:history="1">
        <w:r w:rsidRPr="002340FA">
          <w:rPr>
            <w:rStyle w:val="Kpr"/>
            <w:rFonts w:eastAsia="Calibri"/>
            <w:i/>
            <w:iCs/>
            <w:color w:val="4472C4" w:themeColor="accent1"/>
            <w:sz w:val="16"/>
            <w:szCs w:val="16"/>
          </w:rPr>
          <w:t>https://www.statista.com/statistics/379046/worldwide-retail-e-commerce-sales/</w:t>
        </w:r>
      </w:hyperlink>
      <w:r w:rsidRPr="002340FA">
        <w:rPr>
          <w:rFonts w:ascii="Times New Roman" w:eastAsia="Calibri" w:hAnsi="Times New Roman" w:cs="Times New Roman"/>
          <w:i/>
          <w:iCs/>
          <w:sz w:val="16"/>
          <w:szCs w:val="16"/>
        </w:rPr>
        <w:t xml:space="preserve"> kaynağından yararlanılmıştır.</w:t>
      </w:r>
    </w:p>
    <w:p w14:paraId="55BEAD31" w14:textId="77777777" w:rsidR="00772287" w:rsidRPr="002340FA" w:rsidRDefault="00772287" w:rsidP="00772287">
      <w:pPr>
        <w:spacing w:after="0" w:line="280" w:lineRule="exact"/>
        <w:jc w:val="both"/>
        <w:rPr>
          <w:rFonts w:ascii="Times New Roman" w:eastAsia="Calibri" w:hAnsi="Times New Roman" w:cs="Times New Roman"/>
          <w:sz w:val="24"/>
          <w:szCs w:val="24"/>
        </w:rPr>
      </w:pPr>
    </w:p>
    <w:p w14:paraId="0F070180"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Pandemi sonrasında dönemde tüketim miktarı, dolayısıyla talep miktarı azalmamış, talebin yapısı ile tüketici tercihleri çevrimiçi platformlara yönelmiş, öyle ki 2019 yılında satışlar içerisinde e-ticaretin payı %13,6 iken 2020’de %18’e, 2021’de %19,5’e, 2022’de %20,4, 2023’de ise %21,1 seviyesine yükselmiştir. Bu trendin ilerleyen dönemlerde de yükselmeye devam etmesi beklenmektedir. (</w:t>
      </w:r>
      <w:hyperlink r:id="rId10" w:history="1">
        <w:r w:rsidRPr="002340FA">
          <w:rPr>
            <w:rFonts w:ascii="Times New Roman" w:hAnsi="Times New Roman" w:cs="Times New Roman"/>
            <w:i/>
            <w:iCs/>
            <w:color w:val="4472C4" w:themeColor="accent1"/>
            <w:sz w:val="16"/>
            <w:szCs w:val="16"/>
          </w:rPr>
          <w:t>https://www.trade.gov/impact-covid-pandemic-ecommerce</w:t>
        </w:r>
      </w:hyperlink>
      <w:r w:rsidRPr="002340FA">
        <w:rPr>
          <w:rFonts w:ascii="Times New Roman" w:hAnsi="Times New Roman" w:cs="Times New Roman"/>
          <w:sz w:val="24"/>
          <w:szCs w:val="24"/>
        </w:rPr>
        <w:t>)</w:t>
      </w:r>
    </w:p>
    <w:p w14:paraId="1AD15708"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lastRenderedPageBreak/>
        <w:t>Öte yandan, e-ticaretin hayatımıza getirdiği kolaylıklarla birlikte küresel anlamda talep artmış, ticaret hacmi artmıştır. Bunun bir parçası olarak ise yiyecek-içecek, tüketici ürünleri, ambalaj vb. sektörlerde kullanılmaya yarayan ve fluting ve testlayner gibi kağıtlar kullanılarak üretilen oluklu mukavva sektöründe yatırım ve üretim faaliyetleri hız kazanmıştır (</w:t>
      </w:r>
      <w:hyperlink r:id="rId11" w:history="1">
        <w:r w:rsidRPr="002340FA">
          <w:rPr>
            <w:rFonts w:ascii="Times New Roman" w:hAnsi="Times New Roman" w:cs="Times New Roman"/>
            <w:i/>
            <w:iCs/>
            <w:color w:val="4472C4" w:themeColor="accent1"/>
            <w:sz w:val="16"/>
            <w:szCs w:val="16"/>
          </w:rPr>
          <w:t>Corrugated board attracts big European investments - Paper Advance</w:t>
        </w:r>
      </w:hyperlink>
      <w:r w:rsidRPr="002340FA">
        <w:rPr>
          <w:rFonts w:ascii="Times New Roman" w:hAnsi="Times New Roman" w:cs="Times New Roman"/>
          <w:sz w:val="24"/>
          <w:szCs w:val="24"/>
        </w:rPr>
        <w:t>). Bununla birlikte, oluklu mukavva sektörünü destekleyici nitelikte olan soruşturma konusu eşyanın da yatırım ve üretim faaliyetleri hız kazanmıştır (</w:t>
      </w:r>
      <w:hyperlink r:id="rId12" w:history="1">
        <w:r w:rsidRPr="002340FA">
          <w:rPr>
            <w:rFonts w:ascii="Times New Roman" w:hAnsi="Times New Roman" w:cs="Times New Roman"/>
            <w:i/>
            <w:iCs/>
            <w:color w:val="4472C4" w:themeColor="accent1"/>
            <w:sz w:val="16"/>
            <w:szCs w:val="16"/>
          </w:rPr>
          <w:t>Smurfit Kappa invests in paper mill site in Germany (packaging-gateway.com</w:t>
        </w:r>
        <w:r w:rsidRPr="002340FA">
          <w:rPr>
            <w:rFonts w:ascii="Times New Roman" w:hAnsi="Times New Roman" w:cs="Times New Roman"/>
            <w:sz w:val="24"/>
            <w:szCs w:val="24"/>
          </w:rPr>
          <w:t>)</w:t>
        </w:r>
      </w:hyperlink>
      <w:r w:rsidRPr="002340FA">
        <w:rPr>
          <w:rFonts w:ascii="Times New Roman" w:hAnsi="Times New Roman" w:cs="Times New Roman"/>
          <w:sz w:val="24"/>
          <w:szCs w:val="24"/>
        </w:rPr>
        <w:t>.</w:t>
      </w:r>
    </w:p>
    <w:p w14:paraId="6C0484FA"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 veriler ışığında, pandemi döneminde edinilen çevrimiçi alışveriş alışkanlığı ve bunun hem tüketici hem üretici üzerindeki olumlu etkisiyle birlikte küresel anlamda ticaret hacminin arttığı, e-ticaretin yaygınlaşmasıyla birlikte ambalaj, lojistik gibi yan sektörlerin de bundan beslendiği, bunun bir parçası olarak oluklu mukavva sektöründe yeni yatırımlara girişilerek üretim hacminin artırıldığı, oluklu mukavva üretiminde girdi niteliğini haiz fluting ve testlayner gibi kağıtlara olan talebin yükseldiği sonucu çıkarılmaktadır.</w:t>
      </w:r>
    </w:p>
    <w:p w14:paraId="046E5812"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Ayrıca, soruşturma döneminin ilk yılı olan ve pandeminin bir yıl öncesine tekabül eden 2019 yılına göre 2023 yılında soruşturma konusu eşyanın tüketimi yukarıda belirtilen madde başlıkları çerçevesinde yaklaşık %11 oranında artmış, bu durum madde 4.1’de incelenmiştir.</w:t>
      </w:r>
    </w:p>
    <w:p w14:paraId="183557B9" w14:textId="77777777" w:rsidR="00772287" w:rsidRPr="002340FA" w:rsidRDefault="00772287" w:rsidP="00772287">
      <w:pPr>
        <w:spacing w:after="180" w:line="300" w:lineRule="exact"/>
        <w:jc w:val="both"/>
        <w:rPr>
          <w:rFonts w:ascii="Times New Roman" w:eastAsia="Calibri" w:hAnsi="Times New Roman" w:cs="Times New Roman"/>
          <w:sz w:val="24"/>
          <w:szCs w:val="24"/>
        </w:rPr>
      </w:pPr>
      <w:r w:rsidRPr="002340FA">
        <w:rPr>
          <w:rFonts w:ascii="Times New Roman" w:hAnsi="Times New Roman" w:cs="Times New Roman"/>
          <w:b/>
          <w:bCs/>
          <w:sz w:val="24"/>
          <w:szCs w:val="24"/>
        </w:rPr>
        <w:t>Görüş 2:</w:t>
      </w:r>
      <w:r w:rsidRPr="002340FA">
        <w:rPr>
          <w:rFonts w:ascii="Times New Roman" w:eastAsia="Calibri" w:hAnsi="Times New Roman" w:cs="Times New Roman"/>
          <w:sz w:val="24"/>
          <w:szCs w:val="24"/>
        </w:rPr>
        <w:t xml:space="preserve"> Analize 2023 yılının Şubat ayında gerçekleşen Kahramanmaraş merkezli depremin etkisi dahil edilmemiş olup 2023 yılında yaşanan ithalat artışı depremden kaynaklanmaktadır.</w:t>
      </w:r>
    </w:p>
    <w:p w14:paraId="51731BFD"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eastAsia="Calibri" w:hAnsi="Times New Roman" w:cs="Times New Roman"/>
          <w:b/>
          <w:bCs/>
          <w:sz w:val="24"/>
          <w:szCs w:val="24"/>
        </w:rPr>
        <w:t xml:space="preserve">Cevap 2: </w:t>
      </w:r>
      <w:r w:rsidRPr="002340FA">
        <w:rPr>
          <w:rFonts w:ascii="Times New Roman" w:hAnsi="Times New Roman" w:cs="Times New Roman"/>
          <w:sz w:val="24"/>
          <w:szCs w:val="24"/>
        </w:rPr>
        <w:t>Oransal olarak en büyük ithalat artışı 2023 yılında yaşanmış, ithalat miktarı inceleme dönemindeki en yüksek seviyesi olan 340,2 bin tona yükselmiştir. Ancak, ithalat istatistiklerinin incelenmesinden inceleme dönemi boyunca her yıl düzenli olarak ithalatın artmış olduğu anlaşılmaktadır. Buna göre ithalat, 2020’de %15, 2021’de %23, 2022’de %6, 2023’de %37 oranında artış kaydetmiştir. İnceleme döneminin ilk yılı olan 2019’a göre 2023 yılında ise ithalat %104 oranında artmış olup yaşanan ithalat artışı son yıla özgü değildir.</w:t>
      </w:r>
    </w:p>
    <w:p w14:paraId="48059333" w14:textId="174B6FE2"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Bununla birlikte, deprem bölgesinde yerleşik Kahramanmaraş ve Kipaş Kâğıt depremden etkilense bile yerli üretim dalı ülke talebini karşılayabilecek düzeyde ve kapasitededir. Kahramanmaraş’</w:t>
      </w:r>
      <w:r w:rsidR="00830122">
        <w:rPr>
          <w:rFonts w:ascii="Times New Roman" w:hAnsi="Times New Roman" w:cs="Times New Roman"/>
          <w:sz w:val="24"/>
          <w:szCs w:val="24"/>
        </w:rPr>
        <w:t>t</w:t>
      </w:r>
      <w:r w:rsidRPr="002340FA">
        <w:rPr>
          <w:rFonts w:ascii="Times New Roman" w:hAnsi="Times New Roman" w:cs="Times New Roman"/>
          <w:sz w:val="24"/>
          <w:szCs w:val="24"/>
        </w:rPr>
        <w:t xml:space="preserve">a bulunan PM1 hattı 2023 yılının sonuna kadar, PM3 hattı ise 2023 yılı Eylül ayına kadar durmuş olup firmanın Kütahya’da yerleşik PM3 hattı kesintisiz üretime devam etmiştir. </w:t>
      </w:r>
    </w:p>
    <w:p w14:paraId="18ECE0A6"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Ayrıca, deprem nedeniyle bir miktar üretim kaybı yaşansa bile 2022 yılından devreden stoklarla birlikte 2023 yılında ihracata ayrılan mal iç piyasanın kullanımına arz edilmiş, iç talep karşılanmıştır.</w:t>
      </w:r>
    </w:p>
    <w:p w14:paraId="527300F8"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Üretim yapısındaki bozulmanın, 2021 yılında sonra meydana geldiği, 2023 yılında yaşanan üretim kaybının depremden kaynaklanmadığı/depremin deprem bölgesinde yerleşik firmaları kayda değer ölçüde etkilemediği, 2023 yılındaki üretim kaybının süregelmekte olan negatif konjonktürel hareket dolayısıyla ortaya çıktığı değerlendirilmektedir.</w:t>
      </w:r>
    </w:p>
    <w:p w14:paraId="20F8FA92"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b/>
          <w:bCs/>
          <w:sz w:val="24"/>
          <w:szCs w:val="24"/>
        </w:rPr>
        <w:t>Görüş 3:</w:t>
      </w:r>
      <w:r w:rsidRPr="002340FA">
        <w:rPr>
          <w:rFonts w:ascii="Times New Roman" w:hAnsi="Times New Roman" w:cs="Times New Roman"/>
          <w:sz w:val="24"/>
          <w:szCs w:val="24"/>
        </w:rPr>
        <w:t xml:space="preserve"> 2023 yılının ilk yarısında gerçekleşen ithalat artışının ana nedeni öngörülmeyen gelişme olarak nitelendirilen Rusya-Ukrayna krizi olarak belirtilmiş olup ithalat artışının nedeninin bu gelişme olmadığı değerlendirilmektedir.</w:t>
      </w:r>
    </w:p>
    <w:p w14:paraId="0AB169AA"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eastAsia="Calibri" w:hAnsi="Times New Roman" w:cs="Times New Roman"/>
          <w:b/>
          <w:bCs/>
          <w:sz w:val="24"/>
          <w:szCs w:val="24"/>
        </w:rPr>
        <w:t>Cevap 3:</w:t>
      </w:r>
      <w:r w:rsidRPr="002340FA">
        <w:rPr>
          <w:rFonts w:ascii="Times New Roman" w:eastAsia="Calibri" w:hAnsi="Times New Roman" w:cs="Times New Roman"/>
          <w:sz w:val="24"/>
          <w:szCs w:val="24"/>
        </w:rPr>
        <w:t xml:space="preserve"> </w:t>
      </w:r>
      <w:r w:rsidRPr="002340FA">
        <w:rPr>
          <w:rFonts w:ascii="Times New Roman" w:hAnsi="Times New Roman" w:cs="Times New Roman"/>
          <w:sz w:val="24"/>
          <w:szCs w:val="24"/>
        </w:rPr>
        <w:t>Konuya ilişkin yapılan değerlendirme soruşturma raporunun 3.7 nci bölümü altında yer alan “öngörülmeyen gelişme” başlığı altında ele alınmıştır.</w:t>
      </w:r>
    </w:p>
    <w:p w14:paraId="532F6231"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b/>
          <w:bCs/>
          <w:sz w:val="24"/>
          <w:szCs w:val="24"/>
        </w:rPr>
        <w:lastRenderedPageBreak/>
        <w:t xml:space="preserve">Görüş 4: </w:t>
      </w:r>
      <w:r w:rsidRPr="002340FA">
        <w:rPr>
          <w:rFonts w:ascii="Times New Roman" w:hAnsi="Times New Roman" w:cs="Times New Roman"/>
          <w:sz w:val="24"/>
          <w:szCs w:val="24"/>
        </w:rPr>
        <w:t xml:space="preserve">4805.11 GTP’inde yer alan ve “yarı kimyasal odun selülozlu ondüle (fluting) kâğıdı” tanımlı eşya Türkiye’de üretilmemekte, bu sebeple soruşturma kapsamı dışında bırakılmalıdır. Bununla birlikte, </w:t>
      </w:r>
      <w:r w:rsidRPr="002340FA">
        <w:rPr>
          <w:rFonts w:ascii="Times New Roman" w:eastAsia="Calibri" w:hAnsi="Times New Roman" w:cs="Times New Roman"/>
          <w:bCs/>
          <w:color w:val="000000"/>
          <w:sz w:val="24"/>
          <w:szCs w:val="24"/>
          <w:lang w:eastAsia="tr-TR"/>
        </w:rPr>
        <w:t>4805.24 GTP’inde yer alan ve “m2 ağırlığı 150 gr.veya daha az olanlar” tanımlı eşyanın içine hem testlayner hem beyaz testlayner girmekte, karışıklık olmamasını teminen GTP ayrıştırması yapılması gerekmektedir. Ayrıca, beyaz testlayner üretimi Türkiye’de sınırlı sayıda, sınırlı firma tarafından yapılmakta olup nitelik bakımından ithal ürünle kalite açısından rekabet edecek düzeyde değildir. Bununla birlikte, daha düşük gramajlı beyaz testlaynerın Türkiye’de üretimi bulunmamaktadır.</w:t>
      </w:r>
    </w:p>
    <w:p w14:paraId="5BD6DDEC"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b/>
          <w:bCs/>
          <w:sz w:val="24"/>
          <w:szCs w:val="24"/>
        </w:rPr>
        <w:t xml:space="preserve">Cevap 4: </w:t>
      </w:r>
      <w:r w:rsidRPr="002340FA">
        <w:rPr>
          <w:rFonts w:ascii="Times New Roman" w:hAnsi="Times New Roman" w:cs="Times New Roman"/>
          <w:sz w:val="24"/>
          <w:szCs w:val="24"/>
        </w:rPr>
        <w:t>Soruşturma konusu 4805.11 GTP’li ve “yarı kimyasal odun selülozlu ondüle (fluting) kâğıdı” tanımlı eşyaya ilişkin yapılan değerlendirme 2.2 nci bölümde yer almaktadır.</w:t>
      </w:r>
    </w:p>
    <w:p w14:paraId="5D0C84B1"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Diğer taraftan, Türk Gümrük Tarife Cetvelini, eşyanın menşeini, gümrük kıymetini, gümrük rejim ve formalitelerini taraf olunan anlaşmalara ve uluslararası uygulamalara uygun olarak düzenlemek ve uygulanmasını sağlamak Gümrükler Genel Müdürlüğünün görev ve yetki alanında bulunmaktadır.</w:t>
      </w:r>
    </w:p>
    <w:p w14:paraId="444B71F6"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Bununla birlikte, Türkiye’de hem testlaynerın hem de beyaz testlaynerın üretimi bulunmakta, kâğıt üretim makinalarında bir üründen diğer ürüne geçişkenlik kolaylıkla sağlanabilmekte olup üretim tercihi talebin yapısına göre şekillenmektedir.</w:t>
      </w:r>
    </w:p>
    <w:p w14:paraId="1D5FC748"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Ayrıca, beyaz testlayner noktasında çeşitli gramajlarda kâğıt üretilmekte olup benzer şekilde üretim tercihi talebin yapısına göre şekillenmekte, oldukça verimli bir şekilde dünya standartlarında üretilebilmektedir.</w:t>
      </w:r>
    </w:p>
    <w:p w14:paraId="7E6CD19F"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7. Rekabet uyum planı</w:t>
      </w:r>
    </w:p>
    <w:p w14:paraId="2FB2B101"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Korunma önlemi uygulamasıyla yerli üreticilerin piyasa koşullarına uyumunun kolaylaştırılması amaçlanmaktadır. Bu bölümde, başvuru sahibi yerli üretici firmaların uluslararası rekabete uyum amacıyla hâlihazırda gerçekleştirmekte olduğu ve gelecek dönemde gerçekleştirmeyi düşündüğü planlarına yönelik başvuru sahibi firmalar tarafından beyan edilen bilgiler sunulmaktadır.</w:t>
      </w:r>
    </w:p>
    <w:p w14:paraId="753D5118"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Mevcut durumda, yerli üreticilerin beyanlarından yurtdışında faaliyet gösteren rakip firmalarla rekabet edebilmek adına, üretim verimliliğini çevre dostu ve sürdürülebilir olacak şekilde artırma, hammadde ve enerji giderlerini minimize edebilmek için maliyet etkin üretim yapısını tesis etmeye yönelik stratejik yatırımlarla yurtiçi kâğıt kullanıcılarının değişen ihtiyaçları çerçevesinde AR-GE ve yatırım faaliyetleri hedeflenmektedir.</w:t>
      </w:r>
    </w:p>
    <w:p w14:paraId="4C5D0ED6"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 çerçevede, yerli üretim dalının ithalat nedeniyle kapasitelerinin tamamını kullanamadıkları ancak korunma önleminin uygulanması durumunda kullanamadıkları kapasitelerini devreye sokmayı planladıkları ifade edilmektedir.</w:t>
      </w:r>
    </w:p>
    <w:p w14:paraId="290F112B" w14:textId="77777777" w:rsidR="00772287" w:rsidRPr="002340FA" w:rsidRDefault="00772287" w:rsidP="00772287">
      <w:pPr>
        <w:spacing w:after="180" w:line="300" w:lineRule="exact"/>
        <w:jc w:val="both"/>
        <w:rPr>
          <w:rFonts w:ascii="Times New Roman" w:hAnsi="Times New Roman" w:cs="Times New Roman"/>
          <w:b/>
          <w:bCs/>
          <w:sz w:val="24"/>
          <w:szCs w:val="24"/>
        </w:rPr>
      </w:pPr>
      <w:r w:rsidRPr="002340FA">
        <w:rPr>
          <w:rFonts w:ascii="Times New Roman" w:hAnsi="Times New Roman" w:cs="Times New Roman"/>
          <w:b/>
          <w:bCs/>
          <w:sz w:val="24"/>
          <w:szCs w:val="24"/>
        </w:rPr>
        <w:t>8. Değerlendirme</w:t>
      </w:r>
    </w:p>
    <w:p w14:paraId="421267E7"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Soruşturma konusu eşyanın ithalat seyri ile yerli üreticilerin ekonomik göstergelerinin ve piyasa koşullarının birlikte ele alınması sonucunda, ithalatta mutlak ve nispi bir artışın olduğu ve yerli üreticilerin bu ithalattan ciddi zarar gördüğüne ilişkin tespitler yapılmıştır.</w:t>
      </w:r>
    </w:p>
    <w:p w14:paraId="5728D51E"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 xml:space="preserve">Bununla birlikte, soruşturma dönemi boyunca ülkemizin fluting ve testlayner kâğıt ithalatı incelendiğinde, her yıl bir önceki yıla göre ithalat artışı olduğu tespit edilmiş olup 2023 yılı </w:t>
      </w:r>
      <w:r w:rsidRPr="002340FA">
        <w:rPr>
          <w:rFonts w:ascii="Times New Roman" w:hAnsi="Times New Roman" w:cs="Times New Roman"/>
          <w:sz w:val="24"/>
          <w:szCs w:val="24"/>
        </w:rPr>
        <w:lastRenderedPageBreak/>
        <w:t>itibarıyla ithalattan en fazla pay alan ilk on ülkeden sekizinin AB üyesi ülkelerden oluştuğu görülmektedir.</w:t>
      </w:r>
    </w:p>
    <w:p w14:paraId="5484D5AF"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Diğer taraftan, kâğıt ve ambalaj gibi sektörlere son kullanıcının giderek artan talebinin bulunduğu; bunun da fluting ve testlayner gibi ambalaj, paketleme ve lojistik işinde sıkça kullanılan kâğıtlara olan talebi artırdığı, bu çerçevede Avrupa Birliği’ne mensup birçok ülkede yeni yatırımlara girişildiği ve söz konusu yatırımlarla birlikte Avrupa’daki fluting ve testlayner üretim kapasitesinin artırılacağı bilinmektedir.</w:t>
      </w:r>
    </w:p>
    <w:p w14:paraId="07068919"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Ayrıca, trademap verilerinden, 2022 yılının ilk aylarında meydana gelen Rusya-Ukrayna krizi sebebiyle AB ülkelerinin Rusya’ya yaptığı fluting ve testlayner ihracatının önemli ölçüde düştüğü, söz konusu ürünlerin ihracatının ülkemize kaydığı anlaşılmaktadır.</w:t>
      </w:r>
    </w:p>
    <w:p w14:paraId="20C6347D"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 çerçevede, yerli üreticinin ekonomik göstergelerini bozucu gelişmelerin önümüzdeki dönemlerde de etkisini sürdüreceği ve halihazırda fluting ve testlayner kağıt üreticileri üzerinde ciddi zarar meydana getirdiği yönünde açık kanıtların bulunduğu anlaşılmış olup nihai korunma önlemi alınmaması durumunda düşük birim fiyatlı ithalat artışının artarak devam etmesinin kuvvetle muhtemel olduğu ve bu çerçevede yerli üretim dalının öngörülmeyen ithalat artışına bağlı olarak ciddi zarar ve ciddi zarar tehdidine maruz kalmaya devam edeceği değerlendirilmektedir.</w:t>
      </w:r>
    </w:p>
    <w:p w14:paraId="6ED85FEC" w14:textId="5761CADB" w:rsidR="00772287"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Bunun yanında, yerli üretimin durumunu etkileyebilecek diğer faktörlerin ciddi zarar üzerinde etkisinin olmadığı tespit edilmiştir. Bu çerçevede, ithalat artışı ile ciddi zarar arasında nedensellik bağının bulunduğu ve soruşturma konusu ürünlerin ithalatına karşı korunma önlemi uygulanması için İthalatta Korunma Önlemleri Hakkında Mevzuat kapsamında gerekli şartların oluştuğu değerlendirilmektedir.</w:t>
      </w:r>
    </w:p>
    <w:p w14:paraId="5DB01749" w14:textId="6C38C99D" w:rsidR="0093718F" w:rsidRPr="002340FA" w:rsidRDefault="0093718F" w:rsidP="00772287">
      <w:pPr>
        <w:spacing w:after="180" w:line="300" w:lineRule="exact"/>
        <w:jc w:val="both"/>
        <w:rPr>
          <w:rFonts w:ascii="Times New Roman" w:hAnsi="Times New Roman" w:cs="Times New Roman"/>
          <w:sz w:val="24"/>
          <w:szCs w:val="24"/>
        </w:rPr>
      </w:pPr>
      <w:r>
        <w:rPr>
          <w:rFonts w:ascii="Times New Roman" w:hAnsi="Times New Roman" w:cs="Times New Roman"/>
          <w:sz w:val="24"/>
          <w:szCs w:val="24"/>
        </w:rPr>
        <w:t>Diğer taraftan, Mopak A.Ş. firmasının soruşturma devam ederken olumsuz piyasa koşulları sebebiyle Dalaman kâğıt fabrikasındaki üretimine son vermesi ithalat artışından kaynaklı ciddi zararın firmalar üzerindeki etkisini göstermektedir.</w:t>
      </w:r>
    </w:p>
    <w:p w14:paraId="7DE4C9A1"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Bilindiği üzere, korunma önlemleri bağlamında Türkiye’nin yasal dayanağını oluşturan 2004/7305 sayılı İthalatta Korunma Önlemleri Hakkında Kararın 6 ncı maddesinde “bir malın benzer veya doğrudan rakip mallar üreten yerli üreticiler üzerinde ciddi zarar veya ciddi zarar tehdidi oluşturacak şekilde artan miktar ve şartlarda ithal edildiği hallerde ülke yararı göz önüne alınarak, yapılacak soruşturma sonucunda korunma önlemi alınabilir” hükmü amirdir.</w:t>
      </w:r>
    </w:p>
    <w:p w14:paraId="4D183114" w14:textId="7FB36996"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 xml:space="preserve">Soruşturma </w:t>
      </w:r>
      <w:r w:rsidR="00830122">
        <w:rPr>
          <w:rFonts w:ascii="Times New Roman" w:hAnsi="Times New Roman" w:cs="Times New Roman"/>
          <w:sz w:val="24"/>
          <w:szCs w:val="24"/>
        </w:rPr>
        <w:t>r</w:t>
      </w:r>
      <w:r w:rsidRPr="002340FA">
        <w:rPr>
          <w:rFonts w:ascii="Times New Roman" w:hAnsi="Times New Roman" w:cs="Times New Roman"/>
          <w:sz w:val="24"/>
          <w:szCs w:val="24"/>
        </w:rPr>
        <w:t>aporunun çeşitli bölümlerinde de ifade edildiği gibi yerli üreticilerin üretim kapasiteleri, soruşturma konusu eşyanın iç piyasadaki talebini karşılayacak ve hatta anılan eşyanın ihracatını sağlayabilecek kapasitededir. Ancak, son dönemde giderek artan ithalat ve yerli üreticilerin ekonomik göstergelerini bozucu diğer gelişmelerle birlikte, yerli üretim dalı var olan kapasitesini kullanamaz olmuş, öyle ki 2021 yılında endeks olarak 133 seviyesinde olan kapasite kullanım oranı soruşturma döneminin son yılı olan 2023’</w:t>
      </w:r>
      <w:r w:rsidR="00830122">
        <w:rPr>
          <w:rFonts w:ascii="Times New Roman" w:hAnsi="Times New Roman" w:cs="Times New Roman"/>
          <w:sz w:val="24"/>
          <w:szCs w:val="24"/>
        </w:rPr>
        <w:t>t</w:t>
      </w:r>
      <w:r w:rsidRPr="002340FA">
        <w:rPr>
          <w:rFonts w:ascii="Times New Roman" w:hAnsi="Times New Roman" w:cs="Times New Roman"/>
          <w:sz w:val="24"/>
          <w:szCs w:val="24"/>
        </w:rPr>
        <w:t>e 95 seviyesine kadar düşmüş, başvuru sahibi firmalar zarar etmeye. Bu gelişmeler ışığında, yerli üretim dalı ciddi zarara uğramış, ilerleyen dönemde gidişatın bu şekilde devam etmesi halinde yurtdışında yerleşik rakiplerine karşı rekabet etme gücünü yitirme ve daralmaya giderek sektörde faaliyet gösteren iş gücünü kısma tehlikesiyle karşı karşıya kalmıştır.</w:t>
      </w:r>
    </w:p>
    <w:p w14:paraId="341FB564" w14:textId="20E68CE4"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lastRenderedPageBreak/>
        <w:t>Diğer taraftan, depremin yoğun bir şekilde etkilediği Kahramanmaraş’</w:t>
      </w:r>
      <w:r w:rsidR="00830122">
        <w:rPr>
          <w:rFonts w:ascii="Times New Roman" w:hAnsi="Times New Roman" w:cs="Times New Roman"/>
          <w:sz w:val="24"/>
          <w:szCs w:val="24"/>
        </w:rPr>
        <w:t>t</w:t>
      </w:r>
      <w:r w:rsidRPr="002340FA">
        <w:rPr>
          <w:rFonts w:ascii="Times New Roman" w:hAnsi="Times New Roman" w:cs="Times New Roman"/>
          <w:sz w:val="24"/>
          <w:szCs w:val="24"/>
        </w:rPr>
        <w:t>a yerleşik ve şehrin ekonomisine oldukça faydalı iki kâğıt fabrikası bulunmakta olup depremden sonra şehirden göç yaşanmaya başlamıştır. Göç edenlerin geri dönmesi ise sosyal ve ekonomik anlamda büyük önem arz etmektedir. Bu sebeple, anılan şehrin restorasyon süreci, istihdam olanaklarının geliştirilmesiyle birlikte mümkün olabilecektir.</w:t>
      </w:r>
    </w:p>
    <w:p w14:paraId="3F7E9119"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 yönüyle değerlendirildiğinde, korunma önlemi alınmaması halinde yerli kağıt üreticilerinin yurtdışında yerleşik rakiplerine karşı rekabet etme gücünü yitireceği, Türkiye’nin soruşturma konusu ürünün ihracatçısı durumundayken kendi kendine yeterliliğini kaybederek ithalata bağımlı hale gelebileceği, sektörde yaşanan daralma ile birlikte deprem bölgesi özelinde restorasyon sürecinin sac ayaklarından biri olan istihdam olanaklarının azalarak iyileşme ve normalleşme sürecini sekteye uğratacağı açık olduğundan, korunma önlemi alınmasının kamu yararına olacağı düşünülmektedir.</w:t>
      </w:r>
    </w:p>
    <w:p w14:paraId="759148C4" w14:textId="77777777" w:rsidR="00772287" w:rsidRPr="002340FA" w:rsidRDefault="00772287" w:rsidP="00772287">
      <w:pPr>
        <w:spacing w:after="180" w:line="300" w:lineRule="exact"/>
        <w:jc w:val="both"/>
        <w:rPr>
          <w:rFonts w:ascii="Times New Roman" w:hAnsi="Times New Roman" w:cs="Times New Roman"/>
          <w:sz w:val="24"/>
          <w:szCs w:val="24"/>
        </w:rPr>
      </w:pPr>
      <w:r w:rsidRPr="002340FA">
        <w:rPr>
          <w:rFonts w:ascii="Times New Roman" w:hAnsi="Times New Roman" w:cs="Times New Roman"/>
          <w:sz w:val="24"/>
          <w:szCs w:val="24"/>
        </w:rPr>
        <w:t>Bu çerçevede, soruşturma konusu ürün ithalatında 3 yıl süreyle ton başına ek mali yükümlülük şeklinde korunma önlemi uygulanmasının, ek mali yükümlülüğün aşağıdaki tabloda gösterildiği şekilde belirlenmesinin uygun olacağı değerlendirilmiştir.</w:t>
      </w:r>
    </w:p>
    <w:tbl>
      <w:tblPr>
        <w:tblW w:w="9329" w:type="dxa"/>
        <w:jc w:val="center"/>
        <w:tblCellMar>
          <w:left w:w="70" w:type="dxa"/>
          <w:right w:w="70" w:type="dxa"/>
        </w:tblCellMar>
        <w:tblLook w:val="04A0" w:firstRow="1" w:lastRow="0" w:firstColumn="1" w:lastColumn="0" w:noHBand="0" w:noVBand="1"/>
      </w:tblPr>
      <w:tblGrid>
        <w:gridCol w:w="1400"/>
        <w:gridCol w:w="3952"/>
        <w:gridCol w:w="1277"/>
        <w:gridCol w:w="1277"/>
        <w:gridCol w:w="1277"/>
        <w:gridCol w:w="146"/>
      </w:tblGrid>
      <w:tr w:rsidR="00772287" w:rsidRPr="002340FA" w14:paraId="0B0B6705" w14:textId="77777777" w:rsidTr="00772287">
        <w:trPr>
          <w:gridAfter w:val="1"/>
          <w:wAfter w:w="146" w:type="dxa"/>
          <w:trHeight w:val="223"/>
          <w:jc w:val="center"/>
        </w:trPr>
        <w:tc>
          <w:tcPr>
            <w:tcW w:w="9183"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61A17B7D"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Ek Mali Yükümlülük</w:t>
            </w:r>
          </w:p>
        </w:tc>
      </w:tr>
      <w:tr w:rsidR="00772287" w:rsidRPr="002340FA" w14:paraId="723CFA29" w14:textId="77777777" w:rsidTr="00772287">
        <w:trPr>
          <w:gridAfter w:val="1"/>
          <w:wAfter w:w="146" w:type="dxa"/>
          <w:trHeight w:val="450"/>
          <w:jc w:val="center"/>
        </w:trPr>
        <w:tc>
          <w:tcPr>
            <w:tcW w:w="140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4F7BE0EA"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GTİP</w:t>
            </w:r>
          </w:p>
        </w:tc>
        <w:tc>
          <w:tcPr>
            <w:tcW w:w="39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705064"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Eşya Tanımı</w:t>
            </w:r>
          </w:p>
        </w:tc>
        <w:tc>
          <w:tcPr>
            <w:tcW w:w="12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C8EEF0"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1. Dönem*</w:t>
            </w:r>
          </w:p>
        </w:tc>
        <w:tc>
          <w:tcPr>
            <w:tcW w:w="12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832229"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2. Dönem</w:t>
            </w:r>
          </w:p>
        </w:tc>
        <w:tc>
          <w:tcPr>
            <w:tcW w:w="1277"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39C268D8"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3. Dönem</w:t>
            </w:r>
          </w:p>
        </w:tc>
      </w:tr>
      <w:tr w:rsidR="00772287" w:rsidRPr="002340FA" w14:paraId="4F843144" w14:textId="77777777" w:rsidTr="00772287">
        <w:trPr>
          <w:trHeight w:val="212"/>
          <w:jc w:val="center"/>
        </w:trPr>
        <w:tc>
          <w:tcPr>
            <w:tcW w:w="1400" w:type="dxa"/>
            <w:vMerge/>
            <w:tcBorders>
              <w:top w:val="nil"/>
              <w:left w:val="single" w:sz="8" w:space="0" w:color="auto"/>
              <w:bottom w:val="single" w:sz="4" w:space="0" w:color="auto"/>
              <w:right w:val="single" w:sz="4" w:space="0" w:color="auto"/>
            </w:tcBorders>
            <w:vAlign w:val="center"/>
            <w:hideMark/>
          </w:tcPr>
          <w:p w14:paraId="2855F2FA" w14:textId="77777777" w:rsidR="00772287" w:rsidRPr="002340FA" w:rsidRDefault="00772287" w:rsidP="00D0295E">
            <w:pPr>
              <w:spacing w:after="0" w:line="240" w:lineRule="auto"/>
              <w:rPr>
                <w:rFonts w:ascii="Times New Roman" w:eastAsia="Times New Roman" w:hAnsi="Times New Roman" w:cs="Times New Roman"/>
                <w:b/>
                <w:bCs/>
                <w:color w:val="000000"/>
                <w:sz w:val="18"/>
                <w:szCs w:val="18"/>
                <w:lang w:eastAsia="tr-TR"/>
              </w:rPr>
            </w:pPr>
          </w:p>
        </w:tc>
        <w:tc>
          <w:tcPr>
            <w:tcW w:w="3952" w:type="dxa"/>
            <w:vMerge/>
            <w:tcBorders>
              <w:top w:val="nil"/>
              <w:left w:val="single" w:sz="4" w:space="0" w:color="auto"/>
              <w:bottom w:val="single" w:sz="4" w:space="0" w:color="auto"/>
              <w:right w:val="single" w:sz="4" w:space="0" w:color="auto"/>
            </w:tcBorders>
            <w:vAlign w:val="center"/>
            <w:hideMark/>
          </w:tcPr>
          <w:p w14:paraId="045732DF" w14:textId="77777777" w:rsidR="00772287" w:rsidRPr="002340FA" w:rsidRDefault="00772287" w:rsidP="00D0295E">
            <w:pPr>
              <w:spacing w:after="0" w:line="240" w:lineRule="auto"/>
              <w:rPr>
                <w:rFonts w:ascii="Times New Roman" w:eastAsia="Times New Roman" w:hAnsi="Times New Roman" w:cs="Times New Roman"/>
                <w:b/>
                <w:bCs/>
                <w:color w:val="000000"/>
                <w:sz w:val="18"/>
                <w:szCs w:val="18"/>
                <w:lang w:eastAsia="tr-TR"/>
              </w:rPr>
            </w:pPr>
          </w:p>
        </w:tc>
        <w:tc>
          <w:tcPr>
            <w:tcW w:w="1277" w:type="dxa"/>
            <w:vMerge/>
            <w:tcBorders>
              <w:top w:val="nil"/>
              <w:left w:val="single" w:sz="4" w:space="0" w:color="auto"/>
              <w:bottom w:val="single" w:sz="4" w:space="0" w:color="auto"/>
              <w:right w:val="single" w:sz="4" w:space="0" w:color="auto"/>
            </w:tcBorders>
            <w:vAlign w:val="center"/>
            <w:hideMark/>
          </w:tcPr>
          <w:p w14:paraId="20474485" w14:textId="77777777" w:rsidR="00772287" w:rsidRPr="002340FA" w:rsidRDefault="00772287" w:rsidP="00D0295E">
            <w:pPr>
              <w:spacing w:after="0" w:line="240" w:lineRule="auto"/>
              <w:rPr>
                <w:rFonts w:ascii="Times New Roman" w:eastAsia="Times New Roman" w:hAnsi="Times New Roman" w:cs="Times New Roman"/>
                <w:b/>
                <w:bCs/>
                <w:color w:val="000000"/>
                <w:sz w:val="18"/>
                <w:szCs w:val="18"/>
                <w:lang w:eastAsia="tr-TR"/>
              </w:rPr>
            </w:pPr>
          </w:p>
        </w:tc>
        <w:tc>
          <w:tcPr>
            <w:tcW w:w="1277" w:type="dxa"/>
            <w:vMerge/>
            <w:tcBorders>
              <w:top w:val="nil"/>
              <w:left w:val="single" w:sz="4" w:space="0" w:color="auto"/>
              <w:bottom w:val="single" w:sz="4" w:space="0" w:color="auto"/>
              <w:right w:val="single" w:sz="4" w:space="0" w:color="auto"/>
            </w:tcBorders>
            <w:vAlign w:val="center"/>
            <w:hideMark/>
          </w:tcPr>
          <w:p w14:paraId="691C5BEF" w14:textId="77777777" w:rsidR="00772287" w:rsidRPr="002340FA" w:rsidRDefault="00772287" w:rsidP="00D0295E">
            <w:pPr>
              <w:spacing w:after="0" w:line="240" w:lineRule="auto"/>
              <w:rPr>
                <w:rFonts w:ascii="Times New Roman" w:eastAsia="Times New Roman" w:hAnsi="Times New Roman" w:cs="Times New Roman"/>
                <w:b/>
                <w:bCs/>
                <w:color w:val="000000"/>
                <w:sz w:val="18"/>
                <w:szCs w:val="18"/>
                <w:lang w:eastAsia="tr-TR"/>
              </w:rPr>
            </w:pPr>
          </w:p>
        </w:tc>
        <w:tc>
          <w:tcPr>
            <w:tcW w:w="1277" w:type="dxa"/>
            <w:vMerge/>
            <w:tcBorders>
              <w:top w:val="nil"/>
              <w:left w:val="single" w:sz="4" w:space="0" w:color="auto"/>
              <w:bottom w:val="single" w:sz="4" w:space="0" w:color="auto"/>
              <w:right w:val="single" w:sz="8" w:space="0" w:color="auto"/>
            </w:tcBorders>
            <w:vAlign w:val="center"/>
            <w:hideMark/>
          </w:tcPr>
          <w:p w14:paraId="7FFFD3CF" w14:textId="77777777" w:rsidR="00772287" w:rsidRPr="002340FA" w:rsidRDefault="00772287" w:rsidP="00D0295E">
            <w:pPr>
              <w:spacing w:after="0" w:line="240" w:lineRule="auto"/>
              <w:rPr>
                <w:rFonts w:ascii="Times New Roman" w:eastAsia="Times New Roman" w:hAnsi="Times New Roman" w:cs="Times New Roman"/>
                <w:b/>
                <w:bCs/>
                <w:color w:val="000000"/>
                <w:sz w:val="18"/>
                <w:szCs w:val="18"/>
                <w:lang w:eastAsia="tr-TR"/>
              </w:rPr>
            </w:pPr>
          </w:p>
        </w:tc>
        <w:tc>
          <w:tcPr>
            <w:tcW w:w="146" w:type="dxa"/>
            <w:tcBorders>
              <w:top w:val="nil"/>
              <w:left w:val="nil"/>
              <w:bottom w:val="nil"/>
              <w:right w:val="nil"/>
            </w:tcBorders>
            <w:shd w:val="clear" w:color="auto" w:fill="auto"/>
            <w:noWrap/>
            <w:vAlign w:val="bottom"/>
            <w:hideMark/>
          </w:tcPr>
          <w:p w14:paraId="146DB34C"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p>
        </w:tc>
      </w:tr>
      <w:tr w:rsidR="00772287" w:rsidRPr="002340FA" w14:paraId="45BC5B9A" w14:textId="77777777" w:rsidTr="00772287">
        <w:trPr>
          <w:trHeight w:val="223"/>
          <w:jc w:val="center"/>
        </w:trPr>
        <w:tc>
          <w:tcPr>
            <w:tcW w:w="1400" w:type="dxa"/>
            <w:tcBorders>
              <w:top w:val="nil"/>
              <w:left w:val="single" w:sz="8" w:space="0" w:color="auto"/>
              <w:bottom w:val="single" w:sz="4" w:space="0" w:color="auto"/>
              <w:right w:val="single" w:sz="4" w:space="0" w:color="auto"/>
            </w:tcBorders>
            <w:shd w:val="clear" w:color="auto" w:fill="auto"/>
            <w:noWrap/>
            <w:vAlign w:val="center"/>
            <w:hideMark/>
          </w:tcPr>
          <w:p w14:paraId="1D62E28F"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4805.12.00.00.00</w:t>
            </w:r>
          </w:p>
        </w:tc>
        <w:tc>
          <w:tcPr>
            <w:tcW w:w="3952" w:type="dxa"/>
            <w:tcBorders>
              <w:top w:val="nil"/>
              <w:left w:val="nil"/>
              <w:bottom w:val="single" w:sz="4" w:space="0" w:color="auto"/>
              <w:right w:val="single" w:sz="4" w:space="0" w:color="auto"/>
            </w:tcBorders>
            <w:shd w:val="clear" w:color="auto" w:fill="auto"/>
            <w:noWrap/>
            <w:vAlign w:val="center"/>
            <w:hideMark/>
          </w:tcPr>
          <w:p w14:paraId="759A4E27" w14:textId="77777777" w:rsidR="00772287" w:rsidRPr="002340FA" w:rsidRDefault="00772287" w:rsidP="00D0295E">
            <w:pPr>
              <w:spacing w:after="0" w:line="240" w:lineRule="auto"/>
              <w:rPr>
                <w:rFonts w:ascii="Times New Roman" w:eastAsia="Times New Roman" w:hAnsi="Times New Roman" w:cs="Times New Roman"/>
                <w:color w:val="000033"/>
                <w:sz w:val="18"/>
                <w:szCs w:val="18"/>
                <w:lang w:eastAsia="tr-TR"/>
              </w:rPr>
            </w:pPr>
            <w:r w:rsidRPr="002340FA">
              <w:rPr>
                <w:rFonts w:ascii="Times New Roman" w:eastAsia="Times New Roman" w:hAnsi="Times New Roman" w:cs="Times New Roman"/>
                <w:color w:val="000033"/>
                <w:sz w:val="18"/>
                <w:szCs w:val="18"/>
                <w:lang w:eastAsia="tr-TR"/>
              </w:rPr>
              <w:t>Yarı kimyasal saman selülozlu ondüle (fluting) kâğıdı</w:t>
            </w:r>
          </w:p>
        </w:tc>
        <w:tc>
          <w:tcPr>
            <w:tcW w:w="1277"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BB535F0"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87 ABD Doları/Ton</w:t>
            </w:r>
          </w:p>
        </w:tc>
        <w:tc>
          <w:tcPr>
            <w:tcW w:w="1277"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1E3171F"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86 ABD Doları/Ton</w:t>
            </w:r>
          </w:p>
        </w:tc>
        <w:tc>
          <w:tcPr>
            <w:tcW w:w="1277" w:type="dxa"/>
            <w:vMerge w:val="restart"/>
            <w:tcBorders>
              <w:top w:val="nil"/>
              <w:left w:val="single" w:sz="4" w:space="0" w:color="auto"/>
              <w:bottom w:val="single" w:sz="8" w:space="0" w:color="000000"/>
              <w:right w:val="single" w:sz="8" w:space="0" w:color="auto"/>
            </w:tcBorders>
            <w:shd w:val="clear" w:color="auto" w:fill="auto"/>
            <w:noWrap/>
            <w:vAlign w:val="center"/>
            <w:hideMark/>
          </w:tcPr>
          <w:p w14:paraId="6FFADF6B" w14:textId="77777777" w:rsidR="00772287" w:rsidRPr="002340FA" w:rsidRDefault="00772287" w:rsidP="00D0295E">
            <w:pPr>
              <w:spacing w:after="0" w:line="240" w:lineRule="auto"/>
              <w:jc w:val="center"/>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85 ABD Doları/Ton</w:t>
            </w:r>
          </w:p>
        </w:tc>
        <w:tc>
          <w:tcPr>
            <w:tcW w:w="146" w:type="dxa"/>
            <w:vAlign w:val="center"/>
            <w:hideMark/>
          </w:tcPr>
          <w:p w14:paraId="0659FFF0" w14:textId="77777777" w:rsidR="00772287" w:rsidRPr="002340FA" w:rsidRDefault="00772287" w:rsidP="00D0295E">
            <w:pPr>
              <w:spacing w:after="0" w:line="240" w:lineRule="auto"/>
              <w:rPr>
                <w:rFonts w:ascii="Times New Roman" w:eastAsia="Times New Roman" w:hAnsi="Times New Roman" w:cs="Times New Roman"/>
                <w:sz w:val="18"/>
                <w:szCs w:val="18"/>
                <w:lang w:eastAsia="tr-TR"/>
              </w:rPr>
            </w:pPr>
          </w:p>
        </w:tc>
      </w:tr>
      <w:tr w:rsidR="00772287" w:rsidRPr="002340FA" w14:paraId="4D564674" w14:textId="77777777" w:rsidTr="00772287">
        <w:trPr>
          <w:trHeight w:val="223"/>
          <w:jc w:val="center"/>
        </w:trPr>
        <w:tc>
          <w:tcPr>
            <w:tcW w:w="1400" w:type="dxa"/>
            <w:tcBorders>
              <w:top w:val="nil"/>
              <w:left w:val="single" w:sz="8" w:space="0" w:color="auto"/>
              <w:bottom w:val="single" w:sz="4" w:space="0" w:color="auto"/>
              <w:right w:val="single" w:sz="4" w:space="0" w:color="auto"/>
            </w:tcBorders>
            <w:shd w:val="clear" w:color="auto" w:fill="auto"/>
            <w:noWrap/>
            <w:vAlign w:val="center"/>
            <w:hideMark/>
          </w:tcPr>
          <w:p w14:paraId="6612EC5F"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4805.19.10.00.00</w:t>
            </w:r>
          </w:p>
        </w:tc>
        <w:tc>
          <w:tcPr>
            <w:tcW w:w="3952" w:type="dxa"/>
            <w:tcBorders>
              <w:top w:val="nil"/>
              <w:left w:val="nil"/>
              <w:bottom w:val="single" w:sz="4" w:space="0" w:color="auto"/>
              <w:right w:val="single" w:sz="4" w:space="0" w:color="auto"/>
            </w:tcBorders>
            <w:shd w:val="clear" w:color="auto" w:fill="auto"/>
            <w:noWrap/>
            <w:vAlign w:val="center"/>
            <w:hideMark/>
          </w:tcPr>
          <w:p w14:paraId="7F02F903" w14:textId="77777777" w:rsidR="00772287" w:rsidRPr="002340FA" w:rsidRDefault="00772287" w:rsidP="00D0295E">
            <w:pPr>
              <w:spacing w:after="0" w:line="240" w:lineRule="auto"/>
              <w:rPr>
                <w:rFonts w:ascii="Times New Roman" w:eastAsia="Times New Roman" w:hAnsi="Times New Roman" w:cs="Times New Roman"/>
                <w:color w:val="000033"/>
                <w:sz w:val="18"/>
                <w:szCs w:val="18"/>
                <w:lang w:eastAsia="tr-TR"/>
              </w:rPr>
            </w:pPr>
            <w:r w:rsidRPr="002340FA">
              <w:rPr>
                <w:rFonts w:ascii="Times New Roman" w:eastAsia="Times New Roman" w:hAnsi="Times New Roman" w:cs="Times New Roman"/>
                <w:color w:val="000033"/>
                <w:sz w:val="18"/>
                <w:szCs w:val="18"/>
                <w:lang w:eastAsia="tr-TR"/>
              </w:rPr>
              <w:t>İkincil elyaf (Wellenstoff)</w:t>
            </w:r>
          </w:p>
        </w:tc>
        <w:tc>
          <w:tcPr>
            <w:tcW w:w="1277" w:type="dxa"/>
            <w:vMerge/>
            <w:tcBorders>
              <w:top w:val="nil"/>
              <w:left w:val="single" w:sz="4" w:space="0" w:color="auto"/>
              <w:bottom w:val="single" w:sz="8" w:space="0" w:color="000000"/>
              <w:right w:val="single" w:sz="4" w:space="0" w:color="auto"/>
            </w:tcBorders>
            <w:vAlign w:val="center"/>
            <w:hideMark/>
          </w:tcPr>
          <w:p w14:paraId="3017D5A3" w14:textId="77777777" w:rsidR="00772287" w:rsidRPr="002340FA" w:rsidRDefault="00772287" w:rsidP="00D0295E">
            <w:pPr>
              <w:spacing w:after="0" w:line="240" w:lineRule="auto"/>
              <w:rPr>
                <w:rFonts w:ascii="Times New Roman" w:eastAsia="Times New Roman" w:hAnsi="Times New Roman" w:cs="Times New Roman"/>
                <w:color w:val="000000"/>
                <w:sz w:val="18"/>
                <w:szCs w:val="18"/>
                <w:lang w:eastAsia="tr-TR"/>
              </w:rPr>
            </w:pPr>
          </w:p>
        </w:tc>
        <w:tc>
          <w:tcPr>
            <w:tcW w:w="1277" w:type="dxa"/>
            <w:vMerge/>
            <w:tcBorders>
              <w:top w:val="nil"/>
              <w:left w:val="single" w:sz="4" w:space="0" w:color="auto"/>
              <w:bottom w:val="single" w:sz="8" w:space="0" w:color="000000"/>
              <w:right w:val="single" w:sz="4" w:space="0" w:color="auto"/>
            </w:tcBorders>
            <w:vAlign w:val="center"/>
            <w:hideMark/>
          </w:tcPr>
          <w:p w14:paraId="1D6B9746" w14:textId="77777777" w:rsidR="00772287" w:rsidRPr="002340FA" w:rsidRDefault="00772287" w:rsidP="00D0295E">
            <w:pPr>
              <w:spacing w:after="0" w:line="240" w:lineRule="auto"/>
              <w:rPr>
                <w:rFonts w:ascii="Times New Roman" w:eastAsia="Times New Roman" w:hAnsi="Times New Roman" w:cs="Times New Roman"/>
                <w:color w:val="000000"/>
                <w:sz w:val="18"/>
                <w:szCs w:val="18"/>
                <w:lang w:eastAsia="tr-TR"/>
              </w:rPr>
            </w:pPr>
          </w:p>
        </w:tc>
        <w:tc>
          <w:tcPr>
            <w:tcW w:w="1277" w:type="dxa"/>
            <w:vMerge/>
            <w:tcBorders>
              <w:top w:val="nil"/>
              <w:left w:val="single" w:sz="4" w:space="0" w:color="auto"/>
              <w:bottom w:val="single" w:sz="8" w:space="0" w:color="000000"/>
              <w:right w:val="single" w:sz="8" w:space="0" w:color="auto"/>
            </w:tcBorders>
            <w:vAlign w:val="center"/>
            <w:hideMark/>
          </w:tcPr>
          <w:p w14:paraId="43970FBA" w14:textId="77777777" w:rsidR="00772287" w:rsidRPr="002340FA" w:rsidRDefault="00772287" w:rsidP="00D0295E">
            <w:pPr>
              <w:spacing w:after="0" w:line="240" w:lineRule="auto"/>
              <w:rPr>
                <w:rFonts w:ascii="Times New Roman" w:eastAsia="Times New Roman" w:hAnsi="Times New Roman" w:cs="Times New Roman"/>
                <w:color w:val="000000"/>
                <w:sz w:val="18"/>
                <w:szCs w:val="18"/>
                <w:lang w:eastAsia="tr-TR"/>
              </w:rPr>
            </w:pPr>
          </w:p>
        </w:tc>
        <w:tc>
          <w:tcPr>
            <w:tcW w:w="146" w:type="dxa"/>
            <w:vAlign w:val="center"/>
            <w:hideMark/>
          </w:tcPr>
          <w:p w14:paraId="15432E5C" w14:textId="77777777" w:rsidR="00772287" w:rsidRPr="002340FA" w:rsidRDefault="00772287" w:rsidP="00D0295E">
            <w:pPr>
              <w:spacing w:after="0" w:line="240" w:lineRule="auto"/>
              <w:rPr>
                <w:rFonts w:ascii="Times New Roman" w:eastAsia="Times New Roman" w:hAnsi="Times New Roman" w:cs="Times New Roman"/>
                <w:sz w:val="18"/>
                <w:szCs w:val="18"/>
                <w:lang w:eastAsia="tr-TR"/>
              </w:rPr>
            </w:pPr>
          </w:p>
        </w:tc>
      </w:tr>
      <w:tr w:rsidR="00772287" w:rsidRPr="002340FA" w14:paraId="1036CF75" w14:textId="77777777" w:rsidTr="00772287">
        <w:trPr>
          <w:trHeight w:val="223"/>
          <w:jc w:val="center"/>
        </w:trPr>
        <w:tc>
          <w:tcPr>
            <w:tcW w:w="1400" w:type="dxa"/>
            <w:tcBorders>
              <w:top w:val="nil"/>
              <w:left w:val="single" w:sz="8" w:space="0" w:color="auto"/>
              <w:bottom w:val="single" w:sz="4" w:space="0" w:color="auto"/>
              <w:right w:val="single" w:sz="4" w:space="0" w:color="auto"/>
            </w:tcBorders>
            <w:shd w:val="clear" w:color="auto" w:fill="auto"/>
            <w:noWrap/>
            <w:vAlign w:val="center"/>
            <w:hideMark/>
          </w:tcPr>
          <w:p w14:paraId="01D9B17A"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4805.19.90.00.00</w:t>
            </w:r>
          </w:p>
        </w:tc>
        <w:tc>
          <w:tcPr>
            <w:tcW w:w="3952" w:type="dxa"/>
            <w:tcBorders>
              <w:top w:val="nil"/>
              <w:left w:val="nil"/>
              <w:bottom w:val="single" w:sz="4" w:space="0" w:color="auto"/>
              <w:right w:val="single" w:sz="4" w:space="0" w:color="auto"/>
            </w:tcBorders>
            <w:shd w:val="clear" w:color="auto" w:fill="auto"/>
            <w:noWrap/>
            <w:vAlign w:val="center"/>
            <w:hideMark/>
          </w:tcPr>
          <w:p w14:paraId="177A46ED" w14:textId="77777777" w:rsidR="00772287" w:rsidRPr="002340FA" w:rsidRDefault="00772287" w:rsidP="00D0295E">
            <w:pPr>
              <w:spacing w:after="0" w:line="240" w:lineRule="auto"/>
              <w:rPr>
                <w:rFonts w:ascii="Times New Roman" w:eastAsia="Times New Roman" w:hAnsi="Times New Roman" w:cs="Times New Roman"/>
                <w:color w:val="000000"/>
                <w:sz w:val="18"/>
                <w:szCs w:val="18"/>
                <w:lang w:eastAsia="tr-TR"/>
              </w:rPr>
            </w:pPr>
            <w:r w:rsidRPr="002340FA">
              <w:rPr>
                <w:rFonts w:ascii="Times New Roman" w:eastAsia="Times New Roman" w:hAnsi="Times New Roman" w:cs="Times New Roman"/>
                <w:color w:val="000000"/>
                <w:sz w:val="18"/>
                <w:szCs w:val="18"/>
                <w:lang w:eastAsia="tr-TR"/>
              </w:rPr>
              <w:t>Diğerleri</w:t>
            </w:r>
          </w:p>
        </w:tc>
        <w:tc>
          <w:tcPr>
            <w:tcW w:w="1277" w:type="dxa"/>
            <w:vMerge/>
            <w:tcBorders>
              <w:top w:val="nil"/>
              <w:left w:val="single" w:sz="4" w:space="0" w:color="auto"/>
              <w:bottom w:val="single" w:sz="8" w:space="0" w:color="000000"/>
              <w:right w:val="single" w:sz="4" w:space="0" w:color="auto"/>
            </w:tcBorders>
            <w:vAlign w:val="center"/>
            <w:hideMark/>
          </w:tcPr>
          <w:p w14:paraId="48FFAF04" w14:textId="77777777" w:rsidR="00772287" w:rsidRPr="002340FA" w:rsidRDefault="00772287" w:rsidP="00D0295E">
            <w:pPr>
              <w:spacing w:after="0" w:line="240" w:lineRule="auto"/>
              <w:rPr>
                <w:rFonts w:ascii="Times New Roman" w:eastAsia="Times New Roman" w:hAnsi="Times New Roman" w:cs="Times New Roman"/>
                <w:color w:val="000000"/>
                <w:sz w:val="18"/>
                <w:szCs w:val="18"/>
                <w:lang w:eastAsia="tr-TR"/>
              </w:rPr>
            </w:pPr>
          </w:p>
        </w:tc>
        <w:tc>
          <w:tcPr>
            <w:tcW w:w="1277" w:type="dxa"/>
            <w:vMerge/>
            <w:tcBorders>
              <w:top w:val="nil"/>
              <w:left w:val="single" w:sz="4" w:space="0" w:color="auto"/>
              <w:bottom w:val="single" w:sz="8" w:space="0" w:color="000000"/>
              <w:right w:val="single" w:sz="4" w:space="0" w:color="auto"/>
            </w:tcBorders>
            <w:vAlign w:val="center"/>
            <w:hideMark/>
          </w:tcPr>
          <w:p w14:paraId="13EA10C9" w14:textId="77777777" w:rsidR="00772287" w:rsidRPr="002340FA" w:rsidRDefault="00772287" w:rsidP="00D0295E">
            <w:pPr>
              <w:spacing w:after="0" w:line="240" w:lineRule="auto"/>
              <w:rPr>
                <w:rFonts w:ascii="Times New Roman" w:eastAsia="Times New Roman" w:hAnsi="Times New Roman" w:cs="Times New Roman"/>
                <w:color w:val="000000"/>
                <w:sz w:val="18"/>
                <w:szCs w:val="18"/>
                <w:lang w:eastAsia="tr-TR"/>
              </w:rPr>
            </w:pPr>
          </w:p>
        </w:tc>
        <w:tc>
          <w:tcPr>
            <w:tcW w:w="1277" w:type="dxa"/>
            <w:vMerge/>
            <w:tcBorders>
              <w:top w:val="nil"/>
              <w:left w:val="single" w:sz="4" w:space="0" w:color="auto"/>
              <w:bottom w:val="single" w:sz="8" w:space="0" w:color="000000"/>
              <w:right w:val="single" w:sz="8" w:space="0" w:color="auto"/>
            </w:tcBorders>
            <w:vAlign w:val="center"/>
            <w:hideMark/>
          </w:tcPr>
          <w:p w14:paraId="1592AAD1" w14:textId="77777777" w:rsidR="00772287" w:rsidRPr="002340FA" w:rsidRDefault="00772287" w:rsidP="00D0295E">
            <w:pPr>
              <w:spacing w:after="0" w:line="240" w:lineRule="auto"/>
              <w:rPr>
                <w:rFonts w:ascii="Times New Roman" w:eastAsia="Times New Roman" w:hAnsi="Times New Roman" w:cs="Times New Roman"/>
                <w:color w:val="000000"/>
                <w:sz w:val="18"/>
                <w:szCs w:val="18"/>
                <w:lang w:eastAsia="tr-TR"/>
              </w:rPr>
            </w:pPr>
          </w:p>
        </w:tc>
        <w:tc>
          <w:tcPr>
            <w:tcW w:w="146" w:type="dxa"/>
            <w:vAlign w:val="center"/>
            <w:hideMark/>
          </w:tcPr>
          <w:p w14:paraId="36AFC574" w14:textId="77777777" w:rsidR="00772287" w:rsidRPr="002340FA" w:rsidRDefault="00772287" w:rsidP="00D0295E">
            <w:pPr>
              <w:spacing w:after="0" w:line="240" w:lineRule="auto"/>
              <w:rPr>
                <w:rFonts w:ascii="Times New Roman" w:eastAsia="Times New Roman" w:hAnsi="Times New Roman" w:cs="Times New Roman"/>
                <w:sz w:val="18"/>
                <w:szCs w:val="18"/>
                <w:lang w:eastAsia="tr-TR"/>
              </w:rPr>
            </w:pPr>
          </w:p>
        </w:tc>
      </w:tr>
      <w:tr w:rsidR="00772287" w:rsidRPr="002340FA" w14:paraId="7535BD75" w14:textId="77777777" w:rsidTr="00772287">
        <w:trPr>
          <w:trHeight w:val="223"/>
          <w:jc w:val="center"/>
        </w:trPr>
        <w:tc>
          <w:tcPr>
            <w:tcW w:w="1400" w:type="dxa"/>
            <w:tcBorders>
              <w:top w:val="nil"/>
              <w:left w:val="single" w:sz="8" w:space="0" w:color="auto"/>
              <w:bottom w:val="single" w:sz="4" w:space="0" w:color="auto"/>
              <w:right w:val="single" w:sz="4" w:space="0" w:color="auto"/>
            </w:tcBorders>
            <w:shd w:val="clear" w:color="auto" w:fill="auto"/>
            <w:noWrap/>
            <w:vAlign w:val="center"/>
            <w:hideMark/>
          </w:tcPr>
          <w:p w14:paraId="21C16697"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4805.24.00.00.00</w:t>
            </w:r>
          </w:p>
        </w:tc>
        <w:tc>
          <w:tcPr>
            <w:tcW w:w="3952" w:type="dxa"/>
            <w:tcBorders>
              <w:top w:val="nil"/>
              <w:left w:val="nil"/>
              <w:bottom w:val="single" w:sz="4" w:space="0" w:color="auto"/>
              <w:right w:val="single" w:sz="4" w:space="0" w:color="auto"/>
            </w:tcBorders>
            <w:shd w:val="clear" w:color="auto" w:fill="auto"/>
            <w:noWrap/>
            <w:vAlign w:val="center"/>
            <w:hideMark/>
          </w:tcPr>
          <w:p w14:paraId="13897358" w14:textId="77777777" w:rsidR="00772287" w:rsidRPr="002340FA" w:rsidRDefault="00772287" w:rsidP="00D0295E">
            <w:pPr>
              <w:spacing w:after="0" w:line="240" w:lineRule="auto"/>
              <w:rPr>
                <w:rFonts w:ascii="Times New Roman" w:eastAsia="Times New Roman" w:hAnsi="Times New Roman" w:cs="Times New Roman"/>
                <w:color w:val="000033"/>
                <w:sz w:val="18"/>
                <w:szCs w:val="18"/>
                <w:lang w:eastAsia="tr-TR"/>
              </w:rPr>
            </w:pPr>
            <w:r w:rsidRPr="002340FA">
              <w:rPr>
                <w:rFonts w:ascii="Times New Roman" w:eastAsia="Times New Roman" w:hAnsi="Times New Roman" w:cs="Times New Roman"/>
                <w:color w:val="000033"/>
                <w:sz w:val="18"/>
                <w:szCs w:val="18"/>
                <w:lang w:eastAsia="tr-TR"/>
              </w:rPr>
              <w:t>m2 ağırlığı 150 gr.veya daha az olanlar</w:t>
            </w:r>
          </w:p>
        </w:tc>
        <w:tc>
          <w:tcPr>
            <w:tcW w:w="1277" w:type="dxa"/>
            <w:vMerge/>
            <w:tcBorders>
              <w:top w:val="nil"/>
              <w:left w:val="single" w:sz="4" w:space="0" w:color="auto"/>
              <w:bottom w:val="single" w:sz="8" w:space="0" w:color="000000"/>
              <w:right w:val="single" w:sz="4" w:space="0" w:color="auto"/>
            </w:tcBorders>
            <w:vAlign w:val="center"/>
            <w:hideMark/>
          </w:tcPr>
          <w:p w14:paraId="1B1AAB32" w14:textId="77777777" w:rsidR="00772287" w:rsidRPr="002340FA" w:rsidRDefault="00772287" w:rsidP="00D0295E">
            <w:pPr>
              <w:spacing w:after="0" w:line="240" w:lineRule="auto"/>
              <w:rPr>
                <w:rFonts w:ascii="Times New Roman" w:eastAsia="Times New Roman" w:hAnsi="Times New Roman" w:cs="Times New Roman"/>
                <w:color w:val="000000"/>
                <w:sz w:val="18"/>
                <w:szCs w:val="18"/>
                <w:lang w:eastAsia="tr-TR"/>
              </w:rPr>
            </w:pPr>
          </w:p>
        </w:tc>
        <w:tc>
          <w:tcPr>
            <w:tcW w:w="1277" w:type="dxa"/>
            <w:vMerge/>
            <w:tcBorders>
              <w:top w:val="nil"/>
              <w:left w:val="single" w:sz="4" w:space="0" w:color="auto"/>
              <w:bottom w:val="single" w:sz="8" w:space="0" w:color="000000"/>
              <w:right w:val="single" w:sz="4" w:space="0" w:color="auto"/>
            </w:tcBorders>
            <w:vAlign w:val="center"/>
            <w:hideMark/>
          </w:tcPr>
          <w:p w14:paraId="692667CA" w14:textId="77777777" w:rsidR="00772287" w:rsidRPr="002340FA" w:rsidRDefault="00772287" w:rsidP="00D0295E">
            <w:pPr>
              <w:spacing w:after="0" w:line="240" w:lineRule="auto"/>
              <w:rPr>
                <w:rFonts w:ascii="Times New Roman" w:eastAsia="Times New Roman" w:hAnsi="Times New Roman" w:cs="Times New Roman"/>
                <w:color w:val="000000"/>
                <w:sz w:val="18"/>
                <w:szCs w:val="18"/>
                <w:lang w:eastAsia="tr-TR"/>
              </w:rPr>
            </w:pPr>
          </w:p>
        </w:tc>
        <w:tc>
          <w:tcPr>
            <w:tcW w:w="1277" w:type="dxa"/>
            <w:vMerge/>
            <w:tcBorders>
              <w:top w:val="nil"/>
              <w:left w:val="single" w:sz="4" w:space="0" w:color="auto"/>
              <w:bottom w:val="single" w:sz="8" w:space="0" w:color="000000"/>
              <w:right w:val="single" w:sz="8" w:space="0" w:color="auto"/>
            </w:tcBorders>
            <w:vAlign w:val="center"/>
            <w:hideMark/>
          </w:tcPr>
          <w:p w14:paraId="0168AD4B" w14:textId="77777777" w:rsidR="00772287" w:rsidRPr="002340FA" w:rsidRDefault="00772287" w:rsidP="00D0295E">
            <w:pPr>
              <w:spacing w:after="0" w:line="240" w:lineRule="auto"/>
              <w:rPr>
                <w:rFonts w:ascii="Times New Roman" w:eastAsia="Times New Roman" w:hAnsi="Times New Roman" w:cs="Times New Roman"/>
                <w:color w:val="000000"/>
                <w:sz w:val="18"/>
                <w:szCs w:val="18"/>
                <w:lang w:eastAsia="tr-TR"/>
              </w:rPr>
            </w:pPr>
          </w:p>
        </w:tc>
        <w:tc>
          <w:tcPr>
            <w:tcW w:w="146" w:type="dxa"/>
            <w:vAlign w:val="center"/>
            <w:hideMark/>
          </w:tcPr>
          <w:p w14:paraId="27CCC1DB" w14:textId="77777777" w:rsidR="00772287" w:rsidRPr="002340FA" w:rsidRDefault="00772287" w:rsidP="00D0295E">
            <w:pPr>
              <w:spacing w:after="0" w:line="240" w:lineRule="auto"/>
              <w:rPr>
                <w:rFonts w:ascii="Times New Roman" w:eastAsia="Times New Roman" w:hAnsi="Times New Roman" w:cs="Times New Roman"/>
                <w:sz w:val="18"/>
                <w:szCs w:val="18"/>
                <w:lang w:eastAsia="tr-TR"/>
              </w:rPr>
            </w:pPr>
          </w:p>
        </w:tc>
      </w:tr>
      <w:tr w:rsidR="00772287" w:rsidRPr="002340FA" w14:paraId="3B64D23D" w14:textId="77777777" w:rsidTr="00772287">
        <w:trPr>
          <w:trHeight w:val="233"/>
          <w:jc w:val="center"/>
        </w:trPr>
        <w:tc>
          <w:tcPr>
            <w:tcW w:w="1400" w:type="dxa"/>
            <w:tcBorders>
              <w:top w:val="nil"/>
              <w:left w:val="single" w:sz="8" w:space="0" w:color="auto"/>
              <w:bottom w:val="single" w:sz="8" w:space="0" w:color="auto"/>
              <w:right w:val="single" w:sz="4" w:space="0" w:color="auto"/>
            </w:tcBorders>
            <w:shd w:val="clear" w:color="auto" w:fill="auto"/>
            <w:noWrap/>
            <w:vAlign w:val="center"/>
            <w:hideMark/>
          </w:tcPr>
          <w:p w14:paraId="29B2211C"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8"/>
                <w:szCs w:val="18"/>
                <w:lang w:eastAsia="tr-TR"/>
              </w:rPr>
            </w:pPr>
            <w:r w:rsidRPr="002340FA">
              <w:rPr>
                <w:rFonts w:ascii="Times New Roman" w:eastAsia="Times New Roman" w:hAnsi="Times New Roman" w:cs="Times New Roman"/>
                <w:b/>
                <w:bCs/>
                <w:color w:val="000000"/>
                <w:sz w:val="18"/>
                <w:szCs w:val="18"/>
                <w:lang w:eastAsia="tr-TR"/>
              </w:rPr>
              <w:t>4805.25.00.00.00</w:t>
            </w:r>
          </w:p>
        </w:tc>
        <w:tc>
          <w:tcPr>
            <w:tcW w:w="3952" w:type="dxa"/>
            <w:tcBorders>
              <w:top w:val="nil"/>
              <w:left w:val="nil"/>
              <w:bottom w:val="single" w:sz="8" w:space="0" w:color="auto"/>
              <w:right w:val="single" w:sz="4" w:space="0" w:color="auto"/>
            </w:tcBorders>
            <w:shd w:val="clear" w:color="auto" w:fill="auto"/>
            <w:noWrap/>
            <w:vAlign w:val="center"/>
            <w:hideMark/>
          </w:tcPr>
          <w:p w14:paraId="31AD0B1C" w14:textId="77777777" w:rsidR="00772287" w:rsidRPr="002340FA" w:rsidRDefault="00772287" w:rsidP="00D0295E">
            <w:pPr>
              <w:spacing w:after="0" w:line="240" w:lineRule="auto"/>
              <w:rPr>
                <w:rFonts w:ascii="Times New Roman" w:eastAsia="Times New Roman" w:hAnsi="Times New Roman" w:cs="Times New Roman"/>
                <w:color w:val="000033"/>
                <w:sz w:val="18"/>
                <w:szCs w:val="18"/>
                <w:lang w:eastAsia="tr-TR"/>
              </w:rPr>
            </w:pPr>
            <w:r w:rsidRPr="002340FA">
              <w:rPr>
                <w:rFonts w:ascii="Times New Roman" w:eastAsia="Times New Roman" w:hAnsi="Times New Roman" w:cs="Times New Roman"/>
                <w:color w:val="000033"/>
                <w:sz w:val="18"/>
                <w:szCs w:val="18"/>
                <w:lang w:eastAsia="tr-TR"/>
              </w:rPr>
              <w:t>m2 ağırlığı 150 gr. dan fazla olanlar</w:t>
            </w:r>
          </w:p>
        </w:tc>
        <w:tc>
          <w:tcPr>
            <w:tcW w:w="1277" w:type="dxa"/>
            <w:vMerge/>
            <w:tcBorders>
              <w:top w:val="nil"/>
              <w:left w:val="single" w:sz="4" w:space="0" w:color="auto"/>
              <w:bottom w:val="single" w:sz="8" w:space="0" w:color="000000"/>
              <w:right w:val="single" w:sz="4" w:space="0" w:color="auto"/>
            </w:tcBorders>
            <w:vAlign w:val="center"/>
            <w:hideMark/>
          </w:tcPr>
          <w:p w14:paraId="56900624" w14:textId="77777777" w:rsidR="00772287" w:rsidRPr="002340FA" w:rsidRDefault="00772287" w:rsidP="00D0295E">
            <w:pPr>
              <w:spacing w:after="0" w:line="240" w:lineRule="auto"/>
              <w:rPr>
                <w:rFonts w:ascii="Times New Roman" w:eastAsia="Times New Roman" w:hAnsi="Times New Roman" w:cs="Times New Roman"/>
                <w:color w:val="000000"/>
                <w:sz w:val="18"/>
                <w:szCs w:val="18"/>
                <w:lang w:eastAsia="tr-TR"/>
              </w:rPr>
            </w:pPr>
          </w:p>
        </w:tc>
        <w:tc>
          <w:tcPr>
            <w:tcW w:w="1277" w:type="dxa"/>
            <w:vMerge/>
            <w:tcBorders>
              <w:top w:val="nil"/>
              <w:left w:val="single" w:sz="4" w:space="0" w:color="auto"/>
              <w:bottom w:val="single" w:sz="8" w:space="0" w:color="000000"/>
              <w:right w:val="single" w:sz="4" w:space="0" w:color="auto"/>
            </w:tcBorders>
            <w:vAlign w:val="center"/>
            <w:hideMark/>
          </w:tcPr>
          <w:p w14:paraId="6E486C2A" w14:textId="77777777" w:rsidR="00772287" w:rsidRPr="002340FA" w:rsidRDefault="00772287" w:rsidP="00D0295E">
            <w:pPr>
              <w:spacing w:after="0" w:line="240" w:lineRule="auto"/>
              <w:rPr>
                <w:rFonts w:ascii="Times New Roman" w:eastAsia="Times New Roman" w:hAnsi="Times New Roman" w:cs="Times New Roman"/>
                <w:color w:val="000000"/>
                <w:sz w:val="18"/>
                <w:szCs w:val="18"/>
                <w:lang w:eastAsia="tr-TR"/>
              </w:rPr>
            </w:pPr>
          </w:p>
        </w:tc>
        <w:tc>
          <w:tcPr>
            <w:tcW w:w="1277" w:type="dxa"/>
            <w:vMerge/>
            <w:tcBorders>
              <w:top w:val="nil"/>
              <w:left w:val="single" w:sz="4" w:space="0" w:color="auto"/>
              <w:bottom w:val="single" w:sz="8" w:space="0" w:color="000000"/>
              <w:right w:val="single" w:sz="8" w:space="0" w:color="auto"/>
            </w:tcBorders>
            <w:vAlign w:val="center"/>
            <w:hideMark/>
          </w:tcPr>
          <w:p w14:paraId="6B6A8655" w14:textId="77777777" w:rsidR="00772287" w:rsidRPr="002340FA" w:rsidRDefault="00772287" w:rsidP="00D0295E">
            <w:pPr>
              <w:spacing w:after="0" w:line="240" w:lineRule="auto"/>
              <w:rPr>
                <w:rFonts w:ascii="Times New Roman" w:eastAsia="Times New Roman" w:hAnsi="Times New Roman" w:cs="Times New Roman"/>
                <w:color w:val="000000"/>
                <w:sz w:val="18"/>
                <w:szCs w:val="18"/>
                <w:lang w:eastAsia="tr-TR"/>
              </w:rPr>
            </w:pPr>
          </w:p>
        </w:tc>
        <w:tc>
          <w:tcPr>
            <w:tcW w:w="146" w:type="dxa"/>
            <w:vAlign w:val="center"/>
            <w:hideMark/>
          </w:tcPr>
          <w:p w14:paraId="70B06D7A" w14:textId="77777777" w:rsidR="00772287" w:rsidRPr="002340FA" w:rsidRDefault="00772287" w:rsidP="00D0295E">
            <w:pPr>
              <w:spacing w:after="0" w:line="240" w:lineRule="auto"/>
              <w:rPr>
                <w:rFonts w:ascii="Times New Roman" w:eastAsia="Times New Roman" w:hAnsi="Times New Roman" w:cs="Times New Roman"/>
                <w:sz w:val="18"/>
                <w:szCs w:val="18"/>
                <w:lang w:eastAsia="tr-TR"/>
              </w:rPr>
            </w:pPr>
          </w:p>
        </w:tc>
      </w:tr>
    </w:tbl>
    <w:p w14:paraId="18E96C1F" w14:textId="77777777" w:rsidR="00772287" w:rsidRPr="003C26B2" w:rsidRDefault="00772287" w:rsidP="00772287">
      <w:pPr>
        <w:pStyle w:val="GvdeMetni"/>
        <w:spacing w:after="160"/>
        <w:rPr>
          <w:i/>
          <w:iCs/>
          <w:sz w:val="20"/>
          <w:szCs w:val="20"/>
        </w:rPr>
      </w:pPr>
      <w:r w:rsidRPr="00910E80">
        <w:rPr>
          <w:i/>
          <w:iCs/>
          <w:sz w:val="20"/>
          <w:szCs w:val="20"/>
        </w:rPr>
        <w:t xml:space="preserve">*Korunma önleminin uygulanacağı her bir dönem, </w:t>
      </w:r>
      <w:r>
        <w:rPr>
          <w:i/>
          <w:iCs/>
          <w:sz w:val="20"/>
          <w:szCs w:val="20"/>
        </w:rPr>
        <w:t>Kâğıt İthalatında Korunma Önlemi Uygulanmasına İlişkin</w:t>
      </w:r>
      <w:r w:rsidRPr="00910E80">
        <w:rPr>
          <w:i/>
          <w:iCs/>
          <w:sz w:val="20"/>
          <w:szCs w:val="20"/>
        </w:rPr>
        <w:t xml:space="preserve"> Kararın yürürlüğe giriş tarihinden itibaren başlamak üzere birbirini takip eden birer yıllık süreleri ifade eder.</w:t>
      </w:r>
    </w:p>
    <w:p w14:paraId="25E23DD0" w14:textId="77777777" w:rsidR="00772287" w:rsidRPr="002340FA" w:rsidRDefault="00772287" w:rsidP="00772287">
      <w:pPr>
        <w:spacing w:after="180" w:line="300" w:lineRule="exact"/>
        <w:jc w:val="both"/>
        <w:rPr>
          <w:rFonts w:ascii="Times New Roman" w:hAnsi="Times New Roman" w:cs="Times New Roman"/>
          <w:b/>
          <w:bCs/>
          <w:sz w:val="24"/>
          <w:szCs w:val="24"/>
          <w:u w:val="single"/>
        </w:rPr>
      </w:pPr>
    </w:p>
    <w:p w14:paraId="736A0B42" w14:textId="77777777" w:rsidR="00772287" w:rsidRPr="002340FA" w:rsidRDefault="00772287" w:rsidP="00772287">
      <w:pPr>
        <w:spacing w:after="180" w:line="300" w:lineRule="exact"/>
        <w:jc w:val="both"/>
        <w:rPr>
          <w:rFonts w:ascii="Times New Roman" w:hAnsi="Times New Roman" w:cs="Times New Roman"/>
          <w:b/>
          <w:bCs/>
          <w:sz w:val="24"/>
          <w:szCs w:val="24"/>
          <w:u w:val="single"/>
        </w:rPr>
      </w:pPr>
    </w:p>
    <w:p w14:paraId="463ED3BE" w14:textId="77777777" w:rsidR="00772287" w:rsidRPr="002340FA" w:rsidRDefault="00772287" w:rsidP="00772287">
      <w:pPr>
        <w:spacing w:after="180" w:line="300" w:lineRule="exact"/>
        <w:jc w:val="both"/>
        <w:rPr>
          <w:rFonts w:ascii="Times New Roman" w:hAnsi="Times New Roman" w:cs="Times New Roman"/>
          <w:b/>
          <w:bCs/>
          <w:sz w:val="24"/>
          <w:szCs w:val="24"/>
          <w:u w:val="single"/>
        </w:rPr>
      </w:pPr>
    </w:p>
    <w:p w14:paraId="734E0819" w14:textId="77777777" w:rsidR="00772287" w:rsidRPr="002340FA" w:rsidRDefault="00772287" w:rsidP="00772287">
      <w:pPr>
        <w:spacing w:after="180" w:line="300" w:lineRule="exact"/>
        <w:jc w:val="both"/>
        <w:rPr>
          <w:rFonts w:ascii="Times New Roman" w:hAnsi="Times New Roman" w:cs="Times New Roman"/>
          <w:b/>
          <w:bCs/>
          <w:sz w:val="24"/>
          <w:szCs w:val="24"/>
          <w:u w:val="single"/>
        </w:rPr>
      </w:pPr>
    </w:p>
    <w:p w14:paraId="13998C63" w14:textId="77777777" w:rsidR="00772287" w:rsidRPr="002340FA" w:rsidRDefault="00772287" w:rsidP="00772287">
      <w:pPr>
        <w:spacing w:after="180" w:line="300" w:lineRule="exact"/>
        <w:jc w:val="both"/>
        <w:rPr>
          <w:rFonts w:ascii="Times New Roman" w:hAnsi="Times New Roman" w:cs="Times New Roman"/>
          <w:b/>
          <w:bCs/>
          <w:sz w:val="24"/>
          <w:szCs w:val="24"/>
          <w:u w:val="single"/>
        </w:rPr>
      </w:pPr>
    </w:p>
    <w:p w14:paraId="04AB7BA0" w14:textId="77777777" w:rsidR="00772287" w:rsidRPr="002340FA" w:rsidRDefault="00772287" w:rsidP="00772287">
      <w:pPr>
        <w:spacing w:after="180" w:line="300" w:lineRule="exact"/>
        <w:jc w:val="both"/>
        <w:rPr>
          <w:rFonts w:ascii="Times New Roman" w:hAnsi="Times New Roman" w:cs="Times New Roman"/>
          <w:b/>
          <w:bCs/>
          <w:sz w:val="24"/>
          <w:szCs w:val="24"/>
          <w:u w:val="single"/>
        </w:rPr>
      </w:pPr>
    </w:p>
    <w:p w14:paraId="41B24B71" w14:textId="77777777" w:rsidR="00772287" w:rsidRPr="002340FA" w:rsidRDefault="00772287" w:rsidP="00772287">
      <w:pPr>
        <w:spacing w:after="180" w:line="300" w:lineRule="exact"/>
        <w:jc w:val="both"/>
        <w:rPr>
          <w:rFonts w:ascii="Times New Roman" w:hAnsi="Times New Roman" w:cs="Times New Roman"/>
          <w:b/>
          <w:bCs/>
          <w:sz w:val="24"/>
          <w:szCs w:val="24"/>
          <w:u w:val="single"/>
        </w:rPr>
      </w:pPr>
    </w:p>
    <w:p w14:paraId="70050F3B" w14:textId="77777777" w:rsidR="00772287" w:rsidRPr="002340FA" w:rsidRDefault="00772287" w:rsidP="00772287">
      <w:pPr>
        <w:spacing w:after="180" w:line="300" w:lineRule="exact"/>
        <w:jc w:val="both"/>
        <w:rPr>
          <w:rFonts w:ascii="Times New Roman" w:hAnsi="Times New Roman" w:cs="Times New Roman"/>
          <w:b/>
          <w:bCs/>
          <w:sz w:val="24"/>
          <w:szCs w:val="24"/>
          <w:u w:val="single"/>
        </w:rPr>
      </w:pPr>
    </w:p>
    <w:p w14:paraId="0D263AD4" w14:textId="77777777" w:rsidR="00772287" w:rsidRPr="002340FA" w:rsidRDefault="00772287" w:rsidP="00772287">
      <w:pPr>
        <w:spacing w:after="180" w:line="300" w:lineRule="exact"/>
        <w:jc w:val="both"/>
        <w:rPr>
          <w:rFonts w:ascii="Times New Roman" w:hAnsi="Times New Roman" w:cs="Times New Roman"/>
          <w:b/>
          <w:bCs/>
          <w:sz w:val="24"/>
          <w:szCs w:val="24"/>
          <w:u w:val="single"/>
        </w:rPr>
      </w:pPr>
    </w:p>
    <w:p w14:paraId="0EAB9C2E" w14:textId="77777777" w:rsidR="00772287" w:rsidRPr="002340FA" w:rsidRDefault="00772287" w:rsidP="00772287">
      <w:pPr>
        <w:spacing w:after="180" w:line="300" w:lineRule="exact"/>
        <w:jc w:val="both"/>
        <w:rPr>
          <w:rFonts w:ascii="Times New Roman" w:hAnsi="Times New Roman" w:cs="Times New Roman"/>
          <w:b/>
          <w:bCs/>
          <w:sz w:val="24"/>
          <w:szCs w:val="24"/>
          <w:u w:val="single"/>
        </w:rPr>
      </w:pPr>
    </w:p>
    <w:p w14:paraId="689336EC" w14:textId="77777777" w:rsidR="00772287" w:rsidRPr="002340FA" w:rsidRDefault="00772287" w:rsidP="00772287">
      <w:pPr>
        <w:spacing w:after="180" w:line="300" w:lineRule="exact"/>
        <w:jc w:val="both"/>
        <w:rPr>
          <w:rFonts w:ascii="Times New Roman" w:hAnsi="Times New Roman" w:cs="Times New Roman"/>
          <w:b/>
          <w:bCs/>
          <w:sz w:val="24"/>
          <w:szCs w:val="24"/>
          <w:u w:val="single"/>
        </w:rPr>
      </w:pPr>
    </w:p>
    <w:p w14:paraId="31B6B3D1" w14:textId="77777777" w:rsidR="009E5E76" w:rsidRDefault="009E5E76" w:rsidP="00772287">
      <w:pPr>
        <w:spacing w:after="180" w:line="300" w:lineRule="exact"/>
        <w:jc w:val="both"/>
        <w:rPr>
          <w:rFonts w:ascii="Times New Roman" w:hAnsi="Times New Roman" w:cs="Times New Roman"/>
          <w:b/>
          <w:bCs/>
          <w:sz w:val="24"/>
          <w:szCs w:val="24"/>
          <w:u w:val="single"/>
        </w:rPr>
      </w:pPr>
    </w:p>
    <w:p w14:paraId="423905F4" w14:textId="511BC739" w:rsidR="00772287" w:rsidRPr="002340FA" w:rsidRDefault="00772287" w:rsidP="00772287">
      <w:pPr>
        <w:spacing w:after="180" w:line="300" w:lineRule="exact"/>
        <w:jc w:val="both"/>
        <w:rPr>
          <w:rFonts w:ascii="Times New Roman" w:hAnsi="Times New Roman" w:cs="Times New Roman"/>
          <w:b/>
          <w:bCs/>
          <w:sz w:val="24"/>
          <w:szCs w:val="24"/>
          <w:u w:val="single"/>
        </w:rPr>
      </w:pPr>
      <w:r w:rsidRPr="002340FA">
        <w:rPr>
          <w:rFonts w:ascii="Times New Roman" w:hAnsi="Times New Roman" w:cs="Times New Roman"/>
          <w:b/>
          <w:bCs/>
          <w:sz w:val="24"/>
          <w:szCs w:val="24"/>
          <w:u w:val="single"/>
        </w:rPr>
        <w:lastRenderedPageBreak/>
        <w:t>Ek 1a İlgili tarafların listesi</w:t>
      </w:r>
    </w:p>
    <w:tbl>
      <w:tblPr>
        <w:tblW w:w="8230" w:type="dxa"/>
        <w:tblCellMar>
          <w:left w:w="70" w:type="dxa"/>
          <w:right w:w="70" w:type="dxa"/>
        </w:tblCellMar>
        <w:tblLook w:val="04A0" w:firstRow="1" w:lastRow="0" w:firstColumn="1" w:lastColumn="0" w:noHBand="0" w:noVBand="1"/>
      </w:tblPr>
      <w:tblGrid>
        <w:gridCol w:w="372"/>
        <w:gridCol w:w="3121"/>
        <w:gridCol w:w="2581"/>
        <w:gridCol w:w="2226"/>
      </w:tblGrid>
      <w:tr w:rsidR="00772287" w:rsidRPr="002340FA" w14:paraId="739D7806" w14:textId="77777777" w:rsidTr="00D0295E">
        <w:trPr>
          <w:trHeight w:val="254"/>
        </w:trPr>
        <w:tc>
          <w:tcPr>
            <w:tcW w:w="30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0A64466"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Sıra</w:t>
            </w:r>
          </w:p>
        </w:tc>
        <w:tc>
          <w:tcPr>
            <w:tcW w:w="3121" w:type="dxa"/>
            <w:tcBorders>
              <w:top w:val="single" w:sz="8" w:space="0" w:color="auto"/>
              <w:left w:val="nil"/>
              <w:bottom w:val="single" w:sz="4" w:space="0" w:color="auto"/>
              <w:right w:val="single" w:sz="4" w:space="0" w:color="auto"/>
            </w:tcBorders>
            <w:shd w:val="clear" w:color="auto" w:fill="auto"/>
            <w:noWrap/>
            <w:vAlign w:val="center"/>
            <w:hideMark/>
          </w:tcPr>
          <w:p w14:paraId="259ABFF8"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İLGİLİ TARAFLAR/INTERESTED PARTIES</w:t>
            </w:r>
          </w:p>
        </w:tc>
        <w:tc>
          <w:tcPr>
            <w:tcW w:w="2581" w:type="dxa"/>
            <w:tcBorders>
              <w:top w:val="single" w:sz="8" w:space="0" w:color="auto"/>
              <w:left w:val="nil"/>
              <w:bottom w:val="single" w:sz="4" w:space="0" w:color="auto"/>
              <w:right w:val="single" w:sz="4" w:space="0" w:color="auto"/>
            </w:tcBorders>
            <w:shd w:val="clear" w:color="auto" w:fill="auto"/>
            <w:noWrap/>
            <w:vAlign w:val="center"/>
            <w:hideMark/>
          </w:tcPr>
          <w:p w14:paraId="3CC34870"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İŞTİGAL SAHASI/FIELD OF ACTIVITY</w:t>
            </w:r>
          </w:p>
        </w:tc>
        <w:tc>
          <w:tcPr>
            <w:tcW w:w="2226" w:type="dxa"/>
            <w:tcBorders>
              <w:top w:val="single" w:sz="8" w:space="0" w:color="auto"/>
              <w:left w:val="nil"/>
              <w:bottom w:val="single" w:sz="4" w:space="0" w:color="auto"/>
              <w:right w:val="single" w:sz="8" w:space="0" w:color="auto"/>
            </w:tcBorders>
            <w:shd w:val="clear" w:color="auto" w:fill="auto"/>
            <w:noWrap/>
            <w:vAlign w:val="center"/>
            <w:hideMark/>
          </w:tcPr>
          <w:p w14:paraId="2ABEC522"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ÜLKE/COUNTRY</w:t>
            </w:r>
          </w:p>
        </w:tc>
      </w:tr>
      <w:tr w:rsidR="00772287" w:rsidRPr="002340FA" w14:paraId="7CE22E66"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7B1273BD"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1</w:t>
            </w:r>
          </w:p>
        </w:tc>
        <w:tc>
          <w:tcPr>
            <w:tcW w:w="3121" w:type="dxa"/>
            <w:tcBorders>
              <w:top w:val="nil"/>
              <w:left w:val="nil"/>
              <w:bottom w:val="single" w:sz="4" w:space="0" w:color="auto"/>
              <w:right w:val="single" w:sz="4" w:space="0" w:color="auto"/>
            </w:tcBorders>
            <w:shd w:val="clear" w:color="auto" w:fill="auto"/>
            <w:noWrap/>
            <w:vAlign w:val="center"/>
            <w:hideMark/>
          </w:tcPr>
          <w:p w14:paraId="0DEF19B7"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Avrupa Birliği Türkiye Delegasyonu</w:t>
            </w:r>
          </w:p>
        </w:tc>
        <w:tc>
          <w:tcPr>
            <w:tcW w:w="2581" w:type="dxa"/>
            <w:tcBorders>
              <w:top w:val="nil"/>
              <w:left w:val="nil"/>
              <w:bottom w:val="single" w:sz="4" w:space="0" w:color="auto"/>
              <w:right w:val="single" w:sz="4" w:space="0" w:color="auto"/>
            </w:tcBorders>
            <w:shd w:val="clear" w:color="auto" w:fill="auto"/>
            <w:noWrap/>
            <w:vAlign w:val="center"/>
            <w:hideMark/>
          </w:tcPr>
          <w:p w14:paraId="28BA454B"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Yabancı Hükümet/Foreign Government</w:t>
            </w:r>
          </w:p>
        </w:tc>
        <w:tc>
          <w:tcPr>
            <w:tcW w:w="2226" w:type="dxa"/>
            <w:tcBorders>
              <w:top w:val="nil"/>
              <w:left w:val="nil"/>
              <w:bottom w:val="single" w:sz="4" w:space="0" w:color="auto"/>
              <w:right w:val="single" w:sz="8" w:space="0" w:color="auto"/>
            </w:tcBorders>
            <w:shd w:val="clear" w:color="auto" w:fill="auto"/>
            <w:noWrap/>
            <w:vAlign w:val="center"/>
            <w:hideMark/>
          </w:tcPr>
          <w:p w14:paraId="0D01107C"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AB/EU</w:t>
            </w:r>
          </w:p>
        </w:tc>
      </w:tr>
      <w:tr w:rsidR="00772287" w:rsidRPr="002340FA" w14:paraId="51001926"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0C1AF898"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2</w:t>
            </w:r>
          </w:p>
        </w:tc>
        <w:tc>
          <w:tcPr>
            <w:tcW w:w="3121" w:type="dxa"/>
            <w:tcBorders>
              <w:top w:val="nil"/>
              <w:left w:val="nil"/>
              <w:bottom w:val="single" w:sz="4" w:space="0" w:color="auto"/>
              <w:right w:val="single" w:sz="4" w:space="0" w:color="auto"/>
            </w:tcBorders>
            <w:shd w:val="clear" w:color="auto" w:fill="auto"/>
            <w:noWrap/>
            <w:vAlign w:val="center"/>
            <w:hideMark/>
          </w:tcPr>
          <w:p w14:paraId="01BF8450"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Birleşik Krallık İş ve Ticaret Dairesi</w:t>
            </w:r>
          </w:p>
        </w:tc>
        <w:tc>
          <w:tcPr>
            <w:tcW w:w="2581" w:type="dxa"/>
            <w:tcBorders>
              <w:top w:val="nil"/>
              <w:left w:val="nil"/>
              <w:bottom w:val="single" w:sz="4" w:space="0" w:color="auto"/>
              <w:right w:val="single" w:sz="4" w:space="0" w:color="auto"/>
            </w:tcBorders>
            <w:shd w:val="clear" w:color="auto" w:fill="auto"/>
            <w:noWrap/>
            <w:vAlign w:val="center"/>
            <w:hideMark/>
          </w:tcPr>
          <w:p w14:paraId="2B43A12B"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Yabancı Hükümet/Foreign Government</w:t>
            </w:r>
          </w:p>
        </w:tc>
        <w:tc>
          <w:tcPr>
            <w:tcW w:w="2226" w:type="dxa"/>
            <w:tcBorders>
              <w:top w:val="nil"/>
              <w:left w:val="nil"/>
              <w:bottom w:val="single" w:sz="4" w:space="0" w:color="auto"/>
              <w:right w:val="single" w:sz="8" w:space="0" w:color="auto"/>
            </w:tcBorders>
            <w:shd w:val="clear" w:color="auto" w:fill="auto"/>
            <w:noWrap/>
            <w:vAlign w:val="center"/>
            <w:hideMark/>
          </w:tcPr>
          <w:p w14:paraId="5C8AB9A0"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Birleşik Krallık/United Kingdom</w:t>
            </w:r>
          </w:p>
        </w:tc>
      </w:tr>
      <w:tr w:rsidR="00772287" w:rsidRPr="002340FA" w14:paraId="46241977"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0BD1A179"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3</w:t>
            </w:r>
          </w:p>
        </w:tc>
        <w:tc>
          <w:tcPr>
            <w:tcW w:w="3121" w:type="dxa"/>
            <w:tcBorders>
              <w:top w:val="nil"/>
              <w:left w:val="nil"/>
              <w:bottom w:val="single" w:sz="4" w:space="0" w:color="auto"/>
              <w:right w:val="single" w:sz="4" w:space="0" w:color="auto"/>
            </w:tcBorders>
            <w:shd w:val="clear" w:color="auto" w:fill="auto"/>
            <w:noWrap/>
            <w:vAlign w:val="center"/>
            <w:hideMark/>
          </w:tcPr>
          <w:p w14:paraId="042C4A32"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İspanya Büyükelçiliği Ekonomi ve Ticaret Müsteşarlığı</w:t>
            </w:r>
          </w:p>
        </w:tc>
        <w:tc>
          <w:tcPr>
            <w:tcW w:w="2581" w:type="dxa"/>
            <w:tcBorders>
              <w:top w:val="nil"/>
              <w:left w:val="nil"/>
              <w:bottom w:val="single" w:sz="4" w:space="0" w:color="auto"/>
              <w:right w:val="single" w:sz="4" w:space="0" w:color="auto"/>
            </w:tcBorders>
            <w:shd w:val="clear" w:color="auto" w:fill="auto"/>
            <w:noWrap/>
            <w:vAlign w:val="center"/>
            <w:hideMark/>
          </w:tcPr>
          <w:p w14:paraId="32270C39"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Yabancı Hükümet/Foreign Government</w:t>
            </w:r>
          </w:p>
        </w:tc>
        <w:tc>
          <w:tcPr>
            <w:tcW w:w="2226" w:type="dxa"/>
            <w:tcBorders>
              <w:top w:val="nil"/>
              <w:left w:val="nil"/>
              <w:bottom w:val="single" w:sz="4" w:space="0" w:color="auto"/>
              <w:right w:val="single" w:sz="8" w:space="0" w:color="auto"/>
            </w:tcBorders>
            <w:shd w:val="clear" w:color="auto" w:fill="auto"/>
            <w:noWrap/>
            <w:vAlign w:val="center"/>
            <w:hideMark/>
          </w:tcPr>
          <w:p w14:paraId="1F0CB90E"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İspnaya/Spain</w:t>
            </w:r>
          </w:p>
        </w:tc>
      </w:tr>
      <w:tr w:rsidR="00772287" w:rsidRPr="002340FA" w14:paraId="152486A0"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71F1B9BA"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4</w:t>
            </w:r>
          </w:p>
        </w:tc>
        <w:tc>
          <w:tcPr>
            <w:tcW w:w="3121" w:type="dxa"/>
            <w:tcBorders>
              <w:top w:val="nil"/>
              <w:left w:val="nil"/>
              <w:bottom w:val="single" w:sz="4" w:space="0" w:color="auto"/>
              <w:right w:val="single" w:sz="4" w:space="0" w:color="auto"/>
            </w:tcBorders>
            <w:shd w:val="clear" w:color="auto" w:fill="auto"/>
            <w:noWrap/>
            <w:vAlign w:val="center"/>
            <w:hideMark/>
          </w:tcPr>
          <w:p w14:paraId="616F0A0E"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Malezya Yatırım, Ticaret ve Sanayi Bakanlığı</w:t>
            </w:r>
          </w:p>
        </w:tc>
        <w:tc>
          <w:tcPr>
            <w:tcW w:w="2581" w:type="dxa"/>
            <w:tcBorders>
              <w:top w:val="nil"/>
              <w:left w:val="nil"/>
              <w:bottom w:val="single" w:sz="4" w:space="0" w:color="auto"/>
              <w:right w:val="single" w:sz="4" w:space="0" w:color="auto"/>
            </w:tcBorders>
            <w:shd w:val="clear" w:color="auto" w:fill="auto"/>
            <w:noWrap/>
            <w:vAlign w:val="center"/>
            <w:hideMark/>
          </w:tcPr>
          <w:p w14:paraId="7BE1B417"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Yabancı Hükümet/Foreign Government</w:t>
            </w:r>
          </w:p>
        </w:tc>
        <w:tc>
          <w:tcPr>
            <w:tcW w:w="2226" w:type="dxa"/>
            <w:tcBorders>
              <w:top w:val="nil"/>
              <w:left w:val="nil"/>
              <w:bottom w:val="single" w:sz="4" w:space="0" w:color="auto"/>
              <w:right w:val="single" w:sz="8" w:space="0" w:color="auto"/>
            </w:tcBorders>
            <w:shd w:val="clear" w:color="auto" w:fill="auto"/>
            <w:noWrap/>
            <w:vAlign w:val="center"/>
            <w:hideMark/>
          </w:tcPr>
          <w:p w14:paraId="1CC6E3F9"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Malezya/Malaysia</w:t>
            </w:r>
          </w:p>
        </w:tc>
      </w:tr>
      <w:tr w:rsidR="00772287" w:rsidRPr="002340FA" w14:paraId="162C0DAD"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354D6052"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5</w:t>
            </w:r>
          </w:p>
        </w:tc>
        <w:tc>
          <w:tcPr>
            <w:tcW w:w="3121" w:type="dxa"/>
            <w:tcBorders>
              <w:top w:val="nil"/>
              <w:left w:val="nil"/>
              <w:bottom w:val="single" w:sz="4" w:space="0" w:color="auto"/>
              <w:right w:val="single" w:sz="4" w:space="0" w:color="auto"/>
            </w:tcBorders>
            <w:shd w:val="clear" w:color="auto" w:fill="auto"/>
            <w:noWrap/>
            <w:vAlign w:val="center"/>
            <w:hideMark/>
          </w:tcPr>
          <w:p w14:paraId="74750C77"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Meksika</w:t>
            </w:r>
          </w:p>
        </w:tc>
        <w:tc>
          <w:tcPr>
            <w:tcW w:w="2581" w:type="dxa"/>
            <w:tcBorders>
              <w:top w:val="nil"/>
              <w:left w:val="nil"/>
              <w:bottom w:val="single" w:sz="4" w:space="0" w:color="auto"/>
              <w:right w:val="single" w:sz="4" w:space="0" w:color="auto"/>
            </w:tcBorders>
            <w:shd w:val="clear" w:color="auto" w:fill="auto"/>
            <w:noWrap/>
            <w:vAlign w:val="center"/>
            <w:hideMark/>
          </w:tcPr>
          <w:p w14:paraId="496C39E6"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Yabancı Hükümet/Foreign Government</w:t>
            </w:r>
          </w:p>
        </w:tc>
        <w:tc>
          <w:tcPr>
            <w:tcW w:w="2226" w:type="dxa"/>
            <w:tcBorders>
              <w:top w:val="nil"/>
              <w:left w:val="nil"/>
              <w:bottom w:val="single" w:sz="4" w:space="0" w:color="auto"/>
              <w:right w:val="single" w:sz="8" w:space="0" w:color="auto"/>
            </w:tcBorders>
            <w:shd w:val="clear" w:color="auto" w:fill="auto"/>
            <w:noWrap/>
            <w:vAlign w:val="center"/>
            <w:hideMark/>
          </w:tcPr>
          <w:p w14:paraId="57F61262"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Meksika/Mexico</w:t>
            </w:r>
          </w:p>
        </w:tc>
      </w:tr>
      <w:tr w:rsidR="00772287" w:rsidRPr="002340FA" w14:paraId="637CD0D2"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331551AF"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6</w:t>
            </w:r>
          </w:p>
        </w:tc>
        <w:tc>
          <w:tcPr>
            <w:tcW w:w="3121" w:type="dxa"/>
            <w:tcBorders>
              <w:top w:val="nil"/>
              <w:left w:val="nil"/>
              <w:bottom w:val="single" w:sz="4" w:space="0" w:color="auto"/>
              <w:right w:val="single" w:sz="4" w:space="0" w:color="auto"/>
            </w:tcBorders>
            <w:shd w:val="clear" w:color="auto" w:fill="auto"/>
            <w:noWrap/>
            <w:vAlign w:val="center"/>
            <w:hideMark/>
          </w:tcPr>
          <w:p w14:paraId="53EB6404"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Mısır Ticaret ve Sanayi Bakanlığı</w:t>
            </w:r>
          </w:p>
        </w:tc>
        <w:tc>
          <w:tcPr>
            <w:tcW w:w="2581" w:type="dxa"/>
            <w:tcBorders>
              <w:top w:val="nil"/>
              <w:left w:val="nil"/>
              <w:bottom w:val="single" w:sz="4" w:space="0" w:color="auto"/>
              <w:right w:val="single" w:sz="4" w:space="0" w:color="auto"/>
            </w:tcBorders>
            <w:shd w:val="clear" w:color="auto" w:fill="auto"/>
            <w:noWrap/>
            <w:vAlign w:val="center"/>
            <w:hideMark/>
          </w:tcPr>
          <w:p w14:paraId="0868C533"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Yabancı Hükümet/Foreign Government</w:t>
            </w:r>
          </w:p>
        </w:tc>
        <w:tc>
          <w:tcPr>
            <w:tcW w:w="2226" w:type="dxa"/>
            <w:tcBorders>
              <w:top w:val="nil"/>
              <w:left w:val="nil"/>
              <w:bottom w:val="single" w:sz="4" w:space="0" w:color="auto"/>
              <w:right w:val="single" w:sz="8" w:space="0" w:color="auto"/>
            </w:tcBorders>
            <w:shd w:val="clear" w:color="auto" w:fill="auto"/>
            <w:noWrap/>
            <w:vAlign w:val="center"/>
            <w:hideMark/>
          </w:tcPr>
          <w:p w14:paraId="3661DD8A"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Mısır/Egypt</w:t>
            </w:r>
          </w:p>
        </w:tc>
      </w:tr>
      <w:tr w:rsidR="00772287" w:rsidRPr="002340FA" w14:paraId="52D1C1B6"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4663F263"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7</w:t>
            </w:r>
          </w:p>
        </w:tc>
        <w:tc>
          <w:tcPr>
            <w:tcW w:w="3121" w:type="dxa"/>
            <w:tcBorders>
              <w:top w:val="nil"/>
              <w:left w:val="nil"/>
              <w:bottom w:val="single" w:sz="4" w:space="0" w:color="auto"/>
              <w:right w:val="single" w:sz="4" w:space="0" w:color="auto"/>
            </w:tcBorders>
            <w:shd w:val="clear" w:color="auto" w:fill="auto"/>
            <w:noWrap/>
            <w:vAlign w:val="center"/>
            <w:hideMark/>
          </w:tcPr>
          <w:p w14:paraId="0356A19A"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Rusya Federasyonu T.C. Ticaret Mümessilliği</w:t>
            </w:r>
          </w:p>
        </w:tc>
        <w:tc>
          <w:tcPr>
            <w:tcW w:w="2581" w:type="dxa"/>
            <w:tcBorders>
              <w:top w:val="nil"/>
              <w:left w:val="nil"/>
              <w:bottom w:val="single" w:sz="4" w:space="0" w:color="auto"/>
              <w:right w:val="single" w:sz="4" w:space="0" w:color="auto"/>
            </w:tcBorders>
            <w:shd w:val="clear" w:color="auto" w:fill="auto"/>
            <w:noWrap/>
            <w:vAlign w:val="center"/>
            <w:hideMark/>
          </w:tcPr>
          <w:p w14:paraId="2D82380F"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Yabancı Hükümet/Foreign Government</w:t>
            </w:r>
          </w:p>
        </w:tc>
        <w:tc>
          <w:tcPr>
            <w:tcW w:w="2226" w:type="dxa"/>
            <w:tcBorders>
              <w:top w:val="nil"/>
              <w:left w:val="nil"/>
              <w:bottom w:val="single" w:sz="4" w:space="0" w:color="auto"/>
              <w:right w:val="single" w:sz="8" w:space="0" w:color="auto"/>
            </w:tcBorders>
            <w:shd w:val="clear" w:color="auto" w:fill="auto"/>
            <w:noWrap/>
            <w:vAlign w:val="center"/>
            <w:hideMark/>
          </w:tcPr>
          <w:p w14:paraId="77AD6A3E"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Rusya Federasyonu/Russian Federation</w:t>
            </w:r>
          </w:p>
        </w:tc>
      </w:tr>
      <w:tr w:rsidR="00772287" w:rsidRPr="002340FA" w14:paraId="69A2A9F3"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54014041"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8</w:t>
            </w:r>
          </w:p>
        </w:tc>
        <w:tc>
          <w:tcPr>
            <w:tcW w:w="3121" w:type="dxa"/>
            <w:tcBorders>
              <w:top w:val="nil"/>
              <w:left w:val="nil"/>
              <w:bottom w:val="single" w:sz="4" w:space="0" w:color="auto"/>
              <w:right w:val="single" w:sz="4" w:space="0" w:color="auto"/>
            </w:tcBorders>
            <w:shd w:val="clear" w:color="auto" w:fill="auto"/>
            <w:noWrap/>
            <w:vAlign w:val="center"/>
            <w:hideMark/>
          </w:tcPr>
          <w:p w14:paraId="4F0ACEFC"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Taipei Ekonomi ve Kültür Misyonu</w:t>
            </w:r>
          </w:p>
        </w:tc>
        <w:tc>
          <w:tcPr>
            <w:tcW w:w="2581" w:type="dxa"/>
            <w:tcBorders>
              <w:top w:val="nil"/>
              <w:left w:val="nil"/>
              <w:bottom w:val="single" w:sz="4" w:space="0" w:color="auto"/>
              <w:right w:val="single" w:sz="4" w:space="0" w:color="auto"/>
            </w:tcBorders>
            <w:shd w:val="clear" w:color="auto" w:fill="auto"/>
            <w:noWrap/>
            <w:vAlign w:val="center"/>
            <w:hideMark/>
          </w:tcPr>
          <w:p w14:paraId="6CB37D6D"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Yabancı Hükümet/Foreign Government</w:t>
            </w:r>
          </w:p>
        </w:tc>
        <w:tc>
          <w:tcPr>
            <w:tcW w:w="2226" w:type="dxa"/>
            <w:tcBorders>
              <w:top w:val="nil"/>
              <w:left w:val="nil"/>
              <w:bottom w:val="single" w:sz="4" w:space="0" w:color="auto"/>
              <w:right w:val="single" w:sz="8" w:space="0" w:color="auto"/>
            </w:tcBorders>
            <w:shd w:val="clear" w:color="auto" w:fill="auto"/>
            <w:noWrap/>
            <w:vAlign w:val="center"/>
            <w:hideMark/>
          </w:tcPr>
          <w:p w14:paraId="3CDF9D4F" w14:textId="77A83202" w:rsidR="00772287" w:rsidRPr="002340FA" w:rsidRDefault="00E1115D" w:rsidP="00D0295E">
            <w:pPr>
              <w:spacing w:after="0" w:line="240" w:lineRule="auto"/>
              <w:rPr>
                <w:rFonts w:ascii="Times New Roman" w:eastAsia="Times New Roman" w:hAnsi="Times New Roman" w:cs="Times New Roman"/>
                <w:color w:val="000000"/>
                <w:sz w:val="13"/>
                <w:szCs w:val="13"/>
                <w:lang w:eastAsia="tr-TR"/>
              </w:rPr>
            </w:pPr>
            <w:r>
              <w:rPr>
                <w:rFonts w:ascii="Times New Roman" w:eastAsia="Times New Roman" w:hAnsi="Times New Roman" w:cs="Times New Roman"/>
                <w:color w:val="000000"/>
                <w:sz w:val="13"/>
                <w:szCs w:val="13"/>
                <w:lang w:eastAsia="tr-TR"/>
              </w:rPr>
              <w:t>Çin Tay</w:t>
            </w:r>
            <w:r w:rsidR="003A4E92">
              <w:rPr>
                <w:rFonts w:ascii="Times New Roman" w:eastAsia="Times New Roman" w:hAnsi="Times New Roman" w:cs="Times New Roman"/>
                <w:color w:val="000000"/>
                <w:sz w:val="13"/>
                <w:szCs w:val="13"/>
                <w:lang w:eastAsia="tr-TR"/>
              </w:rPr>
              <w:t>vanı</w:t>
            </w:r>
            <w:r w:rsidR="00772287" w:rsidRPr="002340FA">
              <w:rPr>
                <w:rFonts w:ascii="Times New Roman" w:eastAsia="Times New Roman" w:hAnsi="Times New Roman" w:cs="Times New Roman"/>
                <w:color w:val="000000"/>
                <w:sz w:val="13"/>
                <w:szCs w:val="13"/>
                <w:lang w:eastAsia="tr-TR"/>
              </w:rPr>
              <w:t>/</w:t>
            </w:r>
            <w:r>
              <w:rPr>
                <w:rFonts w:ascii="Times New Roman" w:eastAsia="Times New Roman" w:hAnsi="Times New Roman" w:cs="Times New Roman"/>
                <w:color w:val="000000"/>
                <w:sz w:val="13"/>
                <w:szCs w:val="13"/>
                <w:lang w:eastAsia="tr-TR"/>
              </w:rPr>
              <w:t>Chinese Taipei</w:t>
            </w:r>
          </w:p>
        </w:tc>
      </w:tr>
      <w:tr w:rsidR="00772287" w:rsidRPr="002340FA" w14:paraId="7BF8B538"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205ECFB5"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9</w:t>
            </w:r>
          </w:p>
        </w:tc>
        <w:tc>
          <w:tcPr>
            <w:tcW w:w="3121" w:type="dxa"/>
            <w:tcBorders>
              <w:top w:val="nil"/>
              <w:left w:val="nil"/>
              <w:bottom w:val="single" w:sz="4" w:space="0" w:color="auto"/>
              <w:right w:val="single" w:sz="4" w:space="0" w:color="auto"/>
            </w:tcBorders>
            <w:shd w:val="clear" w:color="auto" w:fill="auto"/>
            <w:noWrap/>
            <w:vAlign w:val="center"/>
            <w:hideMark/>
          </w:tcPr>
          <w:p w14:paraId="705312F7"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Tayland Büyükelçiliği</w:t>
            </w:r>
          </w:p>
        </w:tc>
        <w:tc>
          <w:tcPr>
            <w:tcW w:w="2581" w:type="dxa"/>
            <w:tcBorders>
              <w:top w:val="nil"/>
              <w:left w:val="nil"/>
              <w:bottom w:val="single" w:sz="4" w:space="0" w:color="auto"/>
              <w:right w:val="single" w:sz="4" w:space="0" w:color="auto"/>
            </w:tcBorders>
            <w:shd w:val="clear" w:color="auto" w:fill="auto"/>
            <w:noWrap/>
            <w:vAlign w:val="center"/>
            <w:hideMark/>
          </w:tcPr>
          <w:p w14:paraId="3E0B811F"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Yabancı Hükümet/Foreign Government</w:t>
            </w:r>
          </w:p>
        </w:tc>
        <w:tc>
          <w:tcPr>
            <w:tcW w:w="2226" w:type="dxa"/>
            <w:tcBorders>
              <w:top w:val="nil"/>
              <w:left w:val="nil"/>
              <w:bottom w:val="single" w:sz="4" w:space="0" w:color="auto"/>
              <w:right w:val="single" w:sz="8" w:space="0" w:color="auto"/>
            </w:tcBorders>
            <w:shd w:val="clear" w:color="auto" w:fill="auto"/>
            <w:noWrap/>
            <w:vAlign w:val="center"/>
            <w:hideMark/>
          </w:tcPr>
          <w:p w14:paraId="5A65519C"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Tayland/Thailand</w:t>
            </w:r>
          </w:p>
        </w:tc>
      </w:tr>
      <w:tr w:rsidR="00772287" w:rsidRPr="002340FA" w14:paraId="2003615E"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0F4D2699"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10</w:t>
            </w:r>
          </w:p>
        </w:tc>
        <w:tc>
          <w:tcPr>
            <w:tcW w:w="3121" w:type="dxa"/>
            <w:tcBorders>
              <w:top w:val="nil"/>
              <w:left w:val="nil"/>
              <w:bottom w:val="single" w:sz="4" w:space="0" w:color="auto"/>
              <w:right w:val="single" w:sz="4" w:space="0" w:color="auto"/>
            </w:tcBorders>
            <w:shd w:val="clear" w:color="auto" w:fill="auto"/>
            <w:noWrap/>
            <w:vAlign w:val="center"/>
            <w:hideMark/>
          </w:tcPr>
          <w:p w14:paraId="1DCE7BCC"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Kâğıt Geri Dönüşüm Sanayicileri Derneği (AGED)*</w:t>
            </w:r>
          </w:p>
        </w:tc>
        <w:tc>
          <w:tcPr>
            <w:tcW w:w="2581" w:type="dxa"/>
            <w:tcBorders>
              <w:top w:val="nil"/>
              <w:left w:val="nil"/>
              <w:bottom w:val="single" w:sz="4" w:space="0" w:color="auto"/>
              <w:right w:val="single" w:sz="4" w:space="0" w:color="auto"/>
            </w:tcBorders>
            <w:shd w:val="clear" w:color="auto" w:fill="auto"/>
            <w:noWrap/>
            <w:vAlign w:val="center"/>
            <w:hideMark/>
          </w:tcPr>
          <w:p w14:paraId="15700E23"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Sektör Kuruluşu/Industry Organization</w:t>
            </w:r>
          </w:p>
        </w:tc>
        <w:tc>
          <w:tcPr>
            <w:tcW w:w="2226" w:type="dxa"/>
            <w:tcBorders>
              <w:top w:val="nil"/>
              <w:left w:val="nil"/>
              <w:bottom w:val="single" w:sz="4" w:space="0" w:color="auto"/>
              <w:right w:val="single" w:sz="8" w:space="0" w:color="auto"/>
            </w:tcBorders>
            <w:shd w:val="clear" w:color="auto" w:fill="auto"/>
            <w:noWrap/>
            <w:vAlign w:val="center"/>
            <w:hideMark/>
          </w:tcPr>
          <w:p w14:paraId="06DB2411"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Türkiye/Türkiye</w:t>
            </w:r>
          </w:p>
        </w:tc>
      </w:tr>
      <w:tr w:rsidR="00772287" w:rsidRPr="002340FA" w14:paraId="757DBE5B"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3CBB07AC"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11</w:t>
            </w:r>
          </w:p>
        </w:tc>
        <w:tc>
          <w:tcPr>
            <w:tcW w:w="3121" w:type="dxa"/>
            <w:tcBorders>
              <w:top w:val="nil"/>
              <w:left w:val="nil"/>
              <w:bottom w:val="single" w:sz="4" w:space="0" w:color="auto"/>
              <w:right w:val="single" w:sz="4" w:space="0" w:color="auto"/>
            </w:tcBorders>
            <w:shd w:val="clear" w:color="auto" w:fill="auto"/>
            <w:noWrap/>
            <w:vAlign w:val="center"/>
            <w:hideMark/>
          </w:tcPr>
          <w:p w14:paraId="6E2237FC"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Oluklu Mukavva Üreticileri Derneği</w:t>
            </w:r>
          </w:p>
        </w:tc>
        <w:tc>
          <w:tcPr>
            <w:tcW w:w="2581" w:type="dxa"/>
            <w:tcBorders>
              <w:top w:val="nil"/>
              <w:left w:val="nil"/>
              <w:bottom w:val="single" w:sz="4" w:space="0" w:color="auto"/>
              <w:right w:val="single" w:sz="4" w:space="0" w:color="auto"/>
            </w:tcBorders>
            <w:shd w:val="clear" w:color="auto" w:fill="auto"/>
            <w:noWrap/>
            <w:vAlign w:val="center"/>
            <w:hideMark/>
          </w:tcPr>
          <w:p w14:paraId="31CAAAF8"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Sektör Kuruluşu/Industry Organization</w:t>
            </w:r>
          </w:p>
        </w:tc>
        <w:tc>
          <w:tcPr>
            <w:tcW w:w="2226" w:type="dxa"/>
            <w:tcBorders>
              <w:top w:val="nil"/>
              <w:left w:val="nil"/>
              <w:bottom w:val="single" w:sz="4" w:space="0" w:color="auto"/>
              <w:right w:val="single" w:sz="8" w:space="0" w:color="auto"/>
            </w:tcBorders>
            <w:shd w:val="clear" w:color="auto" w:fill="auto"/>
            <w:noWrap/>
            <w:vAlign w:val="center"/>
            <w:hideMark/>
          </w:tcPr>
          <w:p w14:paraId="470DBFA4"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Türkiye/Türkiye</w:t>
            </w:r>
          </w:p>
        </w:tc>
      </w:tr>
      <w:tr w:rsidR="00772287" w:rsidRPr="002340FA" w14:paraId="24EC39B5"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73FCA9B5"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12</w:t>
            </w:r>
          </w:p>
        </w:tc>
        <w:tc>
          <w:tcPr>
            <w:tcW w:w="3121" w:type="dxa"/>
            <w:tcBorders>
              <w:top w:val="nil"/>
              <w:left w:val="nil"/>
              <w:bottom w:val="single" w:sz="4" w:space="0" w:color="auto"/>
              <w:right w:val="single" w:sz="4" w:space="0" w:color="auto"/>
            </w:tcBorders>
            <w:shd w:val="clear" w:color="auto" w:fill="auto"/>
            <w:noWrap/>
            <w:vAlign w:val="center"/>
            <w:hideMark/>
          </w:tcPr>
          <w:p w14:paraId="3F078050"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Confederation of European Paper Industries (CEPI)</w:t>
            </w:r>
          </w:p>
        </w:tc>
        <w:tc>
          <w:tcPr>
            <w:tcW w:w="2581" w:type="dxa"/>
            <w:tcBorders>
              <w:top w:val="nil"/>
              <w:left w:val="nil"/>
              <w:bottom w:val="single" w:sz="4" w:space="0" w:color="auto"/>
              <w:right w:val="single" w:sz="4" w:space="0" w:color="auto"/>
            </w:tcBorders>
            <w:shd w:val="clear" w:color="auto" w:fill="auto"/>
            <w:noWrap/>
            <w:vAlign w:val="center"/>
            <w:hideMark/>
          </w:tcPr>
          <w:p w14:paraId="1DD244C5"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Sektör Kuruluşu/Industry Organization</w:t>
            </w:r>
          </w:p>
        </w:tc>
        <w:tc>
          <w:tcPr>
            <w:tcW w:w="2226" w:type="dxa"/>
            <w:tcBorders>
              <w:top w:val="nil"/>
              <w:left w:val="nil"/>
              <w:bottom w:val="single" w:sz="4" w:space="0" w:color="auto"/>
              <w:right w:val="single" w:sz="8" w:space="0" w:color="auto"/>
            </w:tcBorders>
            <w:shd w:val="clear" w:color="auto" w:fill="auto"/>
            <w:noWrap/>
            <w:vAlign w:val="center"/>
            <w:hideMark/>
          </w:tcPr>
          <w:p w14:paraId="26A50CE3"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AB/EU</w:t>
            </w:r>
          </w:p>
        </w:tc>
      </w:tr>
      <w:tr w:rsidR="00772287" w:rsidRPr="002340FA" w14:paraId="32B11FF7"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156E950C"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13</w:t>
            </w:r>
          </w:p>
        </w:tc>
        <w:tc>
          <w:tcPr>
            <w:tcW w:w="3121" w:type="dxa"/>
            <w:tcBorders>
              <w:top w:val="nil"/>
              <w:left w:val="nil"/>
              <w:bottom w:val="single" w:sz="4" w:space="0" w:color="auto"/>
              <w:right w:val="single" w:sz="4" w:space="0" w:color="auto"/>
            </w:tcBorders>
            <w:shd w:val="clear" w:color="auto" w:fill="auto"/>
            <w:noWrap/>
            <w:vAlign w:val="center"/>
            <w:hideMark/>
          </w:tcPr>
          <w:p w14:paraId="4E589AFD"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Mondi Oluklu Mukavva</w:t>
            </w:r>
          </w:p>
        </w:tc>
        <w:tc>
          <w:tcPr>
            <w:tcW w:w="2581" w:type="dxa"/>
            <w:tcBorders>
              <w:top w:val="nil"/>
              <w:left w:val="nil"/>
              <w:bottom w:val="single" w:sz="4" w:space="0" w:color="auto"/>
              <w:right w:val="single" w:sz="4" w:space="0" w:color="auto"/>
            </w:tcBorders>
            <w:shd w:val="clear" w:color="auto" w:fill="auto"/>
            <w:noWrap/>
            <w:vAlign w:val="center"/>
            <w:hideMark/>
          </w:tcPr>
          <w:p w14:paraId="383ECD81"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İthalatçı/Importer</w:t>
            </w:r>
          </w:p>
        </w:tc>
        <w:tc>
          <w:tcPr>
            <w:tcW w:w="2226" w:type="dxa"/>
            <w:tcBorders>
              <w:top w:val="nil"/>
              <w:left w:val="nil"/>
              <w:bottom w:val="single" w:sz="4" w:space="0" w:color="auto"/>
              <w:right w:val="single" w:sz="8" w:space="0" w:color="auto"/>
            </w:tcBorders>
            <w:shd w:val="clear" w:color="auto" w:fill="auto"/>
            <w:noWrap/>
            <w:vAlign w:val="center"/>
            <w:hideMark/>
          </w:tcPr>
          <w:p w14:paraId="5C5E8F6D"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Türkiye/Türkiye</w:t>
            </w:r>
          </w:p>
        </w:tc>
      </w:tr>
      <w:tr w:rsidR="00772287" w:rsidRPr="002340FA" w14:paraId="639476ED"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502418A0"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14</w:t>
            </w:r>
          </w:p>
        </w:tc>
        <w:tc>
          <w:tcPr>
            <w:tcW w:w="3121" w:type="dxa"/>
            <w:tcBorders>
              <w:top w:val="nil"/>
              <w:left w:val="nil"/>
              <w:bottom w:val="single" w:sz="4" w:space="0" w:color="auto"/>
              <w:right w:val="single" w:sz="4" w:space="0" w:color="auto"/>
            </w:tcBorders>
            <w:shd w:val="clear" w:color="auto" w:fill="auto"/>
            <w:noWrap/>
            <w:vAlign w:val="center"/>
            <w:hideMark/>
          </w:tcPr>
          <w:p w14:paraId="13D1A06C"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Dentaş Ambalaj</w:t>
            </w:r>
          </w:p>
        </w:tc>
        <w:tc>
          <w:tcPr>
            <w:tcW w:w="2581" w:type="dxa"/>
            <w:tcBorders>
              <w:top w:val="nil"/>
              <w:left w:val="nil"/>
              <w:bottom w:val="single" w:sz="4" w:space="0" w:color="auto"/>
              <w:right w:val="single" w:sz="4" w:space="0" w:color="auto"/>
            </w:tcBorders>
            <w:shd w:val="clear" w:color="auto" w:fill="auto"/>
            <w:noWrap/>
            <w:vAlign w:val="center"/>
            <w:hideMark/>
          </w:tcPr>
          <w:p w14:paraId="6C041118"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İthalatçı/Importer</w:t>
            </w:r>
          </w:p>
        </w:tc>
        <w:tc>
          <w:tcPr>
            <w:tcW w:w="2226" w:type="dxa"/>
            <w:tcBorders>
              <w:top w:val="nil"/>
              <w:left w:val="nil"/>
              <w:bottom w:val="single" w:sz="4" w:space="0" w:color="auto"/>
              <w:right w:val="single" w:sz="8" w:space="0" w:color="auto"/>
            </w:tcBorders>
            <w:shd w:val="clear" w:color="auto" w:fill="auto"/>
            <w:noWrap/>
            <w:vAlign w:val="center"/>
            <w:hideMark/>
          </w:tcPr>
          <w:p w14:paraId="7310B8F5"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Türkiye/Türkiye</w:t>
            </w:r>
          </w:p>
        </w:tc>
      </w:tr>
      <w:tr w:rsidR="00772287" w:rsidRPr="002340FA" w14:paraId="57499EC1"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51A35FE7"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15</w:t>
            </w:r>
          </w:p>
        </w:tc>
        <w:tc>
          <w:tcPr>
            <w:tcW w:w="3121" w:type="dxa"/>
            <w:tcBorders>
              <w:top w:val="nil"/>
              <w:left w:val="nil"/>
              <w:bottom w:val="single" w:sz="4" w:space="0" w:color="auto"/>
              <w:right w:val="single" w:sz="4" w:space="0" w:color="auto"/>
            </w:tcBorders>
            <w:shd w:val="clear" w:color="auto" w:fill="auto"/>
            <w:noWrap/>
            <w:vAlign w:val="center"/>
            <w:hideMark/>
          </w:tcPr>
          <w:p w14:paraId="03A2F9C9"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Eskişehir Oluklu Mukavva</w:t>
            </w:r>
          </w:p>
        </w:tc>
        <w:tc>
          <w:tcPr>
            <w:tcW w:w="2581" w:type="dxa"/>
            <w:tcBorders>
              <w:top w:val="nil"/>
              <w:left w:val="nil"/>
              <w:bottom w:val="single" w:sz="4" w:space="0" w:color="auto"/>
              <w:right w:val="single" w:sz="4" w:space="0" w:color="auto"/>
            </w:tcBorders>
            <w:shd w:val="clear" w:color="auto" w:fill="auto"/>
            <w:noWrap/>
            <w:vAlign w:val="center"/>
            <w:hideMark/>
          </w:tcPr>
          <w:p w14:paraId="1E5557D5"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İthalatçı/Importer</w:t>
            </w:r>
          </w:p>
        </w:tc>
        <w:tc>
          <w:tcPr>
            <w:tcW w:w="2226" w:type="dxa"/>
            <w:tcBorders>
              <w:top w:val="nil"/>
              <w:left w:val="nil"/>
              <w:bottom w:val="single" w:sz="4" w:space="0" w:color="auto"/>
              <w:right w:val="single" w:sz="8" w:space="0" w:color="auto"/>
            </w:tcBorders>
            <w:shd w:val="clear" w:color="auto" w:fill="auto"/>
            <w:noWrap/>
            <w:vAlign w:val="center"/>
            <w:hideMark/>
          </w:tcPr>
          <w:p w14:paraId="4B17489D"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Türkiye/Türkiye</w:t>
            </w:r>
          </w:p>
        </w:tc>
      </w:tr>
      <w:tr w:rsidR="00772287" w:rsidRPr="002340FA" w14:paraId="29D87D10"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3E5C2549"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16</w:t>
            </w:r>
          </w:p>
        </w:tc>
        <w:tc>
          <w:tcPr>
            <w:tcW w:w="3121" w:type="dxa"/>
            <w:tcBorders>
              <w:top w:val="nil"/>
              <w:left w:val="nil"/>
              <w:bottom w:val="single" w:sz="4" w:space="0" w:color="auto"/>
              <w:right w:val="single" w:sz="4" w:space="0" w:color="auto"/>
            </w:tcBorders>
            <w:shd w:val="clear" w:color="auto" w:fill="auto"/>
            <w:noWrap/>
            <w:vAlign w:val="center"/>
            <w:hideMark/>
          </w:tcPr>
          <w:p w14:paraId="700F2CD2"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Atasan Ambalaj</w:t>
            </w:r>
          </w:p>
        </w:tc>
        <w:tc>
          <w:tcPr>
            <w:tcW w:w="2581" w:type="dxa"/>
            <w:tcBorders>
              <w:top w:val="nil"/>
              <w:left w:val="nil"/>
              <w:bottom w:val="single" w:sz="4" w:space="0" w:color="auto"/>
              <w:right w:val="single" w:sz="4" w:space="0" w:color="auto"/>
            </w:tcBorders>
            <w:shd w:val="clear" w:color="auto" w:fill="auto"/>
            <w:noWrap/>
            <w:vAlign w:val="center"/>
            <w:hideMark/>
          </w:tcPr>
          <w:p w14:paraId="11376330"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İthalatçı/Importer</w:t>
            </w:r>
          </w:p>
        </w:tc>
        <w:tc>
          <w:tcPr>
            <w:tcW w:w="2226" w:type="dxa"/>
            <w:tcBorders>
              <w:top w:val="nil"/>
              <w:left w:val="nil"/>
              <w:bottom w:val="single" w:sz="4" w:space="0" w:color="auto"/>
              <w:right w:val="single" w:sz="8" w:space="0" w:color="auto"/>
            </w:tcBorders>
            <w:shd w:val="clear" w:color="auto" w:fill="auto"/>
            <w:noWrap/>
            <w:vAlign w:val="center"/>
            <w:hideMark/>
          </w:tcPr>
          <w:p w14:paraId="14E4D553"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Türkiye/Türkiye</w:t>
            </w:r>
          </w:p>
        </w:tc>
      </w:tr>
      <w:tr w:rsidR="00772287" w:rsidRPr="002340FA" w14:paraId="124A9482"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71429338"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17</w:t>
            </w:r>
          </w:p>
        </w:tc>
        <w:tc>
          <w:tcPr>
            <w:tcW w:w="3121" w:type="dxa"/>
            <w:tcBorders>
              <w:top w:val="nil"/>
              <w:left w:val="nil"/>
              <w:bottom w:val="single" w:sz="4" w:space="0" w:color="auto"/>
              <w:right w:val="single" w:sz="4" w:space="0" w:color="auto"/>
            </w:tcBorders>
            <w:shd w:val="clear" w:color="auto" w:fill="auto"/>
            <w:noWrap/>
            <w:vAlign w:val="center"/>
            <w:hideMark/>
          </w:tcPr>
          <w:p w14:paraId="2216C554"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Benson Kâğıt</w:t>
            </w:r>
          </w:p>
        </w:tc>
        <w:tc>
          <w:tcPr>
            <w:tcW w:w="2581" w:type="dxa"/>
            <w:tcBorders>
              <w:top w:val="nil"/>
              <w:left w:val="nil"/>
              <w:bottom w:val="single" w:sz="4" w:space="0" w:color="auto"/>
              <w:right w:val="single" w:sz="4" w:space="0" w:color="auto"/>
            </w:tcBorders>
            <w:shd w:val="clear" w:color="auto" w:fill="auto"/>
            <w:noWrap/>
            <w:vAlign w:val="center"/>
            <w:hideMark/>
          </w:tcPr>
          <w:p w14:paraId="5E9CF644"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İthalatçı/Importer</w:t>
            </w:r>
          </w:p>
        </w:tc>
        <w:tc>
          <w:tcPr>
            <w:tcW w:w="2226" w:type="dxa"/>
            <w:tcBorders>
              <w:top w:val="nil"/>
              <w:left w:val="nil"/>
              <w:bottom w:val="single" w:sz="4" w:space="0" w:color="auto"/>
              <w:right w:val="single" w:sz="8" w:space="0" w:color="auto"/>
            </w:tcBorders>
            <w:shd w:val="clear" w:color="auto" w:fill="auto"/>
            <w:noWrap/>
            <w:vAlign w:val="center"/>
            <w:hideMark/>
          </w:tcPr>
          <w:p w14:paraId="46A064DF"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Türkiye/Türkiye</w:t>
            </w:r>
          </w:p>
        </w:tc>
      </w:tr>
      <w:tr w:rsidR="00772287" w:rsidRPr="002340FA" w14:paraId="6BAC6653"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522FFC5E"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18</w:t>
            </w:r>
          </w:p>
        </w:tc>
        <w:tc>
          <w:tcPr>
            <w:tcW w:w="3121" w:type="dxa"/>
            <w:tcBorders>
              <w:top w:val="nil"/>
              <w:left w:val="nil"/>
              <w:bottom w:val="single" w:sz="4" w:space="0" w:color="auto"/>
              <w:right w:val="single" w:sz="4" w:space="0" w:color="auto"/>
            </w:tcBorders>
            <w:shd w:val="clear" w:color="auto" w:fill="auto"/>
            <w:noWrap/>
            <w:vAlign w:val="center"/>
            <w:hideMark/>
          </w:tcPr>
          <w:p w14:paraId="15F18462"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Torkut Oluklu Mukavva</w:t>
            </w:r>
          </w:p>
        </w:tc>
        <w:tc>
          <w:tcPr>
            <w:tcW w:w="2581" w:type="dxa"/>
            <w:tcBorders>
              <w:top w:val="nil"/>
              <w:left w:val="nil"/>
              <w:bottom w:val="single" w:sz="4" w:space="0" w:color="auto"/>
              <w:right w:val="single" w:sz="4" w:space="0" w:color="auto"/>
            </w:tcBorders>
            <w:shd w:val="clear" w:color="auto" w:fill="auto"/>
            <w:noWrap/>
            <w:vAlign w:val="center"/>
            <w:hideMark/>
          </w:tcPr>
          <w:p w14:paraId="6D705C18"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İthalatçı/Importer</w:t>
            </w:r>
          </w:p>
        </w:tc>
        <w:tc>
          <w:tcPr>
            <w:tcW w:w="2226" w:type="dxa"/>
            <w:tcBorders>
              <w:top w:val="nil"/>
              <w:left w:val="nil"/>
              <w:bottom w:val="single" w:sz="4" w:space="0" w:color="auto"/>
              <w:right w:val="single" w:sz="8" w:space="0" w:color="auto"/>
            </w:tcBorders>
            <w:shd w:val="clear" w:color="auto" w:fill="auto"/>
            <w:noWrap/>
            <w:vAlign w:val="center"/>
            <w:hideMark/>
          </w:tcPr>
          <w:p w14:paraId="0A8A0347"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Türkiye/Türkiye</w:t>
            </w:r>
          </w:p>
        </w:tc>
      </w:tr>
      <w:tr w:rsidR="00772287" w:rsidRPr="002340FA" w14:paraId="2A8702CD"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4FDE6C72"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19</w:t>
            </w:r>
          </w:p>
        </w:tc>
        <w:tc>
          <w:tcPr>
            <w:tcW w:w="3121" w:type="dxa"/>
            <w:tcBorders>
              <w:top w:val="nil"/>
              <w:left w:val="nil"/>
              <w:bottom w:val="single" w:sz="4" w:space="0" w:color="auto"/>
              <w:right w:val="single" w:sz="4" w:space="0" w:color="auto"/>
            </w:tcBorders>
            <w:shd w:val="clear" w:color="auto" w:fill="auto"/>
            <w:noWrap/>
            <w:vAlign w:val="center"/>
            <w:hideMark/>
          </w:tcPr>
          <w:p w14:paraId="22F339A4"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Mondi Swiecie (Polonya)</w:t>
            </w:r>
          </w:p>
        </w:tc>
        <w:tc>
          <w:tcPr>
            <w:tcW w:w="2581" w:type="dxa"/>
            <w:tcBorders>
              <w:top w:val="nil"/>
              <w:left w:val="nil"/>
              <w:bottom w:val="single" w:sz="4" w:space="0" w:color="auto"/>
              <w:right w:val="single" w:sz="4" w:space="0" w:color="auto"/>
            </w:tcBorders>
            <w:shd w:val="clear" w:color="auto" w:fill="auto"/>
            <w:noWrap/>
            <w:vAlign w:val="center"/>
            <w:hideMark/>
          </w:tcPr>
          <w:p w14:paraId="67F71574"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İhracatçı/Exporter</w:t>
            </w:r>
          </w:p>
        </w:tc>
        <w:tc>
          <w:tcPr>
            <w:tcW w:w="2226" w:type="dxa"/>
            <w:tcBorders>
              <w:top w:val="nil"/>
              <w:left w:val="nil"/>
              <w:bottom w:val="single" w:sz="4" w:space="0" w:color="auto"/>
              <w:right w:val="single" w:sz="8" w:space="0" w:color="auto"/>
            </w:tcBorders>
            <w:shd w:val="clear" w:color="auto" w:fill="auto"/>
            <w:noWrap/>
            <w:vAlign w:val="center"/>
            <w:hideMark/>
          </w:tcPr>
          <w:p w14:paraId="0CFEEAEB"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Polonya/Poland</w:t>
            </w:r>
          </w:p>
        </w:tc>
      </w:tr>
      <w:tr w:rsidR="00772287" w:rsidRPr="002340FA" w14:paraId="43BD37DF"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18834C9D"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20</w:t>
            </w:r>
          </w:p>
        </w:tc>
        <w:tc>
          <w:tcPr>
            <w:tcW w:w="3121" w:type="dxa"/>
            <w:tcBorders>
              <w:top w:val="nil"/>
              <w:left w:val="nil"/>
              <w:bottom w:val="single" w:sz="4" w:space="0" w:color="auto"/>
              <w:right w:val="single" w:sz="4" w:space="0" w:color="auto"/>
            </w:tcBorders>
            <w:shd w:val="clear" w:color="auto" w:fill="auto"/>
            <w:noWrap/>
            <w:vAlign w:val="center"/>
            <w:hideMark/>
          </w:tcPr>
          <w:p w14:paraId="001EEA39"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Mondi Powerflute (Finlandiya)</w:t>
            </w:r>
          </w:p>
        </w:tc>
        <w:tc>
          <w:tcPr>
            <w:tcW w:w="2581" w:type="dxa"/>
            <w:tcBorders>
              <w:top w:val="nil"/>
              <w:left w:val="nil"/>
              <w:bottom w:val="single" w:sz="4" w:space="0" w:color="auto"/>
              <w:right w:val="single" w:sz="4" w:space="0" w:color="auto"/>
            </w:tcBorders>
            <w:shd w:val="clear" w:color="auto" w:fill="auto"/>
            <w:noWrap/>
            <w:vAlign w:val="center"/>
            <w:hideMark/>
          </w:tcPr>
          <w:p w14:paraId="3D0C2F40"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İhracatçı/Exporter</w:t>
            </w:r>
          </w:p>
        </w:tc>
        <w:tc>
          <w:tcPr>
            <w:tcW w:w="2226" w:type="dxa"/>
            <w:tcBorders>
              <w:top w:val="nil"/>
              <w:left w:val="nil"/>
              <w:bottom w:val="single" w:sz="4" w:space="0" w:color="auto"/>
              <w:right w:val="single" w:sz="8" w:space="0" w:color="auto"/>
            </w:tcBorders>
            <w:shd w:val="clear" w:color="auto" w:fill="auto"/>
            <w:noWrap/>
            <w:vAlign w:val="center"/>
            <w:hideMark/>
          </w:tcPr>
          <w:p w14:paraId="177D79FA"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Finlandiya/Finland</w:t>
            </w:r>
          </w:p>
        </w:tc>
      </w:tr>
      <w:tr w:rsidR="00772287" w:rsidRPr="002340FA" w14:paraId="4B1B77C0"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4D154DDD"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21</w:t>
            </w:r>
          </w:p>
        </w:tc>
        <w:tc>
          <w:tcPr>
            <w:tcW w:w="3121" w:type="dxa"/>
            <w:tcBorders>
              <w:top w:val="nil"/>
              <w:left w:val="nil"/>
              <w:bottom w:val="single" w:sz="4" w:space="0" w:color="auto"/>
              <w:right w:val="single" w:sz="4" w:space="0" w:color="auto"/>
            </w:tcBorders>
            <w:shd w:val="clear" w:color="auto" w:fill="auto"/>
            <w:noWrap/>
            <w:vAlign w:val="center"/>
            <w:hideMark/>
          </w:tcPr>
          <w:p w14:paraId="4558E7AF"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Mondi SCP (Slovakya)</w:t>
            </w:r>
          </w:p>
        </w:tc>
        <w:tc>
          <w:tcPr>
            <w:tcW w:w="2581" w:type="dxa"/>
            <w:tcBorders>
              <w:top w:val="nil"/>
              <w:left w:val="nil"/>
              <w:bottom w:val="single" w:sz="4" w:space="0" w:color="auto"/>
              <w:right w:val="single" w:sz="4" w:space="0" w:color="auto"/>
            </w:tcBorders>
            <w:shd w:val="clear" w:color="auto" w:fill="auto"/>
            <w:noWrap/>
            <w:vAlign w:val="center"/>
            <w:hideMark/>
          </w:tcPr>
          <w:p w14:paraId="7EBCFA97"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İhracatçı/Exporter</w:t>
            </w:r>
          </w:p>
        </w:tc>
        <w:tc>
          <w:tcPr>
            <w:tcW w:w="2226" w:type="dxa"/>
            <w:tcBorders>
              <w:top w:val="nil"/>
              <w:left w:val="nil"/>
              <w:bottom w:val="single" w:sz="4" w:space="0" w:color="auto"/>
              <w:right w:val="single" w:sz="8" w:space="0" w:color="auto"/>
            </w:tcBorders>
            <w:shd w:val="clear" w:color="auto" w:fill="auto"/>
            <w:noWrap/>
            <w:vAlign w:val="center"/>
            <w:hideMark/>
          </w:tcPr>
          <w:p w14:paraId="32E660C7"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Slovakya/Slovakia</w:t>
            </w:r>
          </w:p>
        </w:tc>
      </w:tr>
      <w:tr w:rsidR="00772287" w:rsidRPr="002340FA" w14:paraId="0380FBD3"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77CDE932"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22</w:t>
            </w:r>
          </w:p>
        </w:tc>
        <w:tc>
          <w:tcPr>
            <w:tcW w:w="3121" w:type="dxa"/>
            <w:tcBorders>
              <w:top w:val="nil"/>
              <w:left w:val="nil"/>
              <w:bottom w:val="single" w:sz="4" w:space="0" w:color="auto"/>
              <w:right w:val="single" w:sz="4" w:space="0" w:color="auto"/>
            </w:tcBorders>
            <w:shd w:val="clear" w:color="auto" w:fill="auto"/>
            <w:noWrap/>
            <w:vAlign w:val="center"/>
            <w:hideMark/>
          </w:tcPr>
          <w:p w14:paraId="31782B4F"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Mondi Paper Sales (Avusturya)</w:t>
            </w:r>
          </w:p>
        </w:tc>
        <w:tc>
          <w:tcPr>
            <w:tcW w:w="2581" w:type="dxa"/>
            <w:tcBorders>
              <w:top w:val="nil"/>
              <w:left w:val="nil"/>
              <w:bottom w:val="single" w:sz="4" w:space="0" w:color="auto"/>
              <w:right w:val="single" w:sz="4" w:space="0" w:color="auto"/>
            </w:tcBorders>
            <w:shd w:val="clear" w:color="auto" w:fill="auto"/>
            <w:noWrap/>
            <w:vAlign w:val="center"/>
            <w:hideMark/>
          </w:tcPr>
          <w:p w14:paraId="6A22512F"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İhracatçı/Exporter</w:t>
            </w:r>
          </w:p>
        </w:tc>
        <w:tc>
          <w:tcPr>
            <w:tcW w:w="2226" w:type="dxa"/>
            <w:tcBorders>
              <w:top w:val="nil"/>
              <w:left w:val="nil"/>
              <w:bottom w:val="single" w:sz="4" w:space="0" w:color="auto"/>
              <w:right w:val="single" w:sz="8" w:space="0" w:color="auto"/>
            </w:tcBorders>
            <w:shd w:val="clear" w:color="auto" w:fill="auto"/>
            <w:noWrap/>
            <w:vAlign w:val="center"/>
            <w:hideMark/>
          </w:tcPr>
          <w:p w14:paraId="41916FF6"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Avusturya/Austria</w:t>
            </w:r>
          </w:p>
        </w:tc>
      </w:tr>
      <w:tr w:rsidR="00772287" w:rsidRPr="002340FA" w14:paraId="77A52608"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06497DC3"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23</w:t>
            </w:r>
          </w:p>
        </w:tc>
        <w:tc>
          <w:tcPr>
            <w:tcW w:w="3121" w:type="dxa"/>
            <w:tcBorders>
              <w:top w:val="nil"/>
              <w:left w:val="nil"/>
              <w:bottom w:val="single" w:sz="4" w:space="0" w:color="auto"/>
              <w:right w:val="single" w:sz="4" w:space="0" w:color="auto"/>
            </w:tcBorders>
            <w:shd w:val="clear" w:color="auto" w:fill="auto"/>
            <w:noWrap/>
            <w:vAlign w:val="center"/>
            <w:hideMark/>
          </w:tcPr>
          <w:p w14:paraId="4C6A467B"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Billerud Sweden (İsveç)</w:t>
            </w:r>
          </w:p>
        </w:tc>
        <w:tc>
          <w:tcPr>
            <w:tcW w:w="2581" w:type="dxa"/>
            <w:tcBorders>
              <w:top w:val="nil"/>
              <w:left w:val="nil"/>
              <w:bottom w:val="single" w:sz="4" w:space="0" w:color="auto"/>
              <w:right w:val="single" w:sz="4" w:space="0" w:color="auto"/>
            </w:tcBorders>
            <w:shd w:val="clear" w:color="auto" w:fill="auto"/>
            <w:noWrap/>
            <w:vAlign w:val="center"/>
            <w:hideMark/>
          </w:tcPr>
          <w:p w14:paraId="241EAFB5"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İhracatçı/Exporter</w:t>
            </w:r>
          </w:p>
        </w:tc>
        <w:tc>
          <w:tcPr>
            <w:tcW w:w="2226" w:type="dxa"/>
            <w:tcBorders>
              <w:top w:val="nil"/>
              <w:left w:val="nil"/>
              <w:bottom w:val="single" w:sz="4" w:space="0" w:color="auto"/>
              <w:right w:val="single" w:sz="8" w:space="0" w:color="auto"/>
            </w:tcBorders>
            <w:shd w:val="clear" w:color="auto" w:fill="auto"/>
            <w:noWrap/>
            <w:vAlign w:val="center"/>
            <w:hideMark/>
          </w:tcPr>
          <w:p w14:paraId="4847701F"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İsveç/Sweden</w:t>
            </w:r>
          </w:p>
        </w:tc>
      </w:tr>
      <w:tr w:rsidR="00772287" w:rsidRPr="002340FA" w14:paraId="58825899"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15B0F9C5"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24</w:t>
            </w:r>
          </w:p>
        </w:tc>
        <w:tc>
          <w:tcPr>
            <w:tcW w:w="3121" w:type="dxa"/>
            <w:tcBorders>
              <w:top w:val="nil"/>
              <w:left w:val="nil"/>
              <w:bottom w:val="single" w:sz="4" w:space="0" w:color="auto"/>
              <w:right w:val="single" w:sz="4" w:space="0" w:color="auto"/>
            </w:tcBorders>
            <w:shd w:val="clear" w:color="auto" w:fill="auto"/>
            <w:noWrap/>
            <w:vAlign w:val="center"/>
            <w:hideMark/>
          </w:tcPr>
          <w:p w14:paraId="416AAD98"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Stora Enso (Finlandiya)</w:t>
            </w:r>
          </w:p>
        </w:tc>
        <w:tc>
          <w:tcPr>
            <w:tcW w:w="2581" w:type="dxa"/>
            <w:tcBorders>
              <w:top w:val="nil"/>
              <w:left w:val="nil"/>
              <w:bottom w:val="single" w:sz="4" w:space="0" w:color="auto"/>
              <w:right w:val="single" w:sz="4" w:space="0" w:color="auto"/>
            </w:tcBorders>
            <w:shd w:val="clear" w:color="auto" w:fill="auto"/>
            <w:noWrap/>
            <w:vAlign w:val="center"/>
            <w:hideMark/>
          </w:tcPr>
          <w:p w14:paraId="34926E72"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İhracatçı/Exporter</w:t>
            </w:r>
          </w:p>
        </w:tc>
        <w:tc>
          <w:tcPr>
            <w:tcW w:w="2226" w:type="dxa"/>
            <w:tcBorders>
              <w:top w:val="nil"/>
              <w:left w:val="nil"/>
              <w:bottom w:val="single" w:sz="4" w:space="0" w:color="auto"/>
              <w:right w:val="single" w:sz="8" w:space="0" w:color="auto"/>
            </w:tcBorders>
            <w:shd w:val="clear" w:color="auto" w:fill="auto"/>
            <w:noWrap/>
            <w:vAlign w:val="center"/>
            <w:hideMark/>
          </w:tcPr>
          <w:p w14:paraId="70A3D72A"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Finlandiya/Finland</w:t>
            </w:r>
          </w:p>
        </w:tc>
      </w:tr>
      <w:tr w:rsidR="00772287" w:rsidRPr="002340FA" w14:paraId="66E2CD4B"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1B8DC69E"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25</w:t>
            </w:r>
          </w:p>
        </w:tc>
        <w:tc>
          <w:tcPr>
            <w:tcW w:w="3121" w:type="dxa"/>
            <w:tcBorders>
              <w:top w:val="nil"/>
              <w:left w:val="nil"/>
              <w:bottom w:val="single" w:sz="4" w:space="0" w:color="auto"/>
              <w:right w:val="single" w:sz="4" w:space="0" w:color="auto"/>
            </w:tcBorders>
            <w:shd w:val="clear" w:color="auto" w:fill="auto"/>
            <w:noWrap/>
            <w:vAlign w:val="center"/>
            <w:hideMark/>
          </w:tcPr>
          <w:p w14:paraId="2909577E"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Forest Papper AB (İsveç)</w:t>
            </w:r>
          </w:p>
        </w:tc>
        <w:tc>
          <w:tcPr>
            <w:tcW w:w="2581" w:type="dxa"/>
            <w:tcBorders>
              <w:top w:val="nil"/>
              <w:left w:val="nil"/>
              <w:bottom w:val="single" w:sz="4" w:space="0" w:color="auto"/>
              <w:right w:val="single" w:sz="4" w:space="0" w:color="auto"/>
            </w:tcBorders>
            <w:shd w:val="clear" w:color="auto" w:fill="auto"/>
            <w:noWrap/>
            <w:vAlign w:val="center"/>
            <w:hideMark/>
          </w:tcPr>
          <w:p w14:paraId="666E4A2C"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İhracatçı/Exporter</w:t>
            </w:r>
          </w:p>
        </w:tc>
        <w:tc>
          <w:tcPr>
            <w:tcW w:w="2226" w:type="dxa"/>
            <w:tcBorders>
              <w:top w:val="nil"/>
              <w:left w:val="nil"/>
              <w:bottom w:val="single" w:sz="4" w:space="0" w:color="auto"/>
              <w:right w:val="single" w:sz="8" w:space="0" w:color="auto"/>
            </w:tcBorders>
            <w:shd w:val="clear" w:color="auto" w:fill="auto"/>
            <w:noWrap/>
            <w:vAlign w:val="center"/>
            <w:hideMark/>
          </w:tcPr>
          <w:p w14:paraId="30206C2D"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İsveç/Sweden</w:t>
            </w:r>
          </w:p>
        </w:tc>
      </w:tr>
      <w:tr w:rsidR="00772287" w:rsidRPr="002340FA" w14:paraId="150D9A0E"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25EA9302"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26</w:t>
            </w:r>
          </w:p>
        </w:tc>
        <w:tc>
          <w:tcPr>
            <w:tcW w:w="3121" w:type="dxa"/>
            <w:tcBorders>
              <w:top w:val="nil"/>
              <w:left w:val="nil"/>
              <w:bottom w:val="single" w:sz="4" w:space="0" w:color="auto"/>
              <w:right w:val="single" w:sz="4" w:space="0" w:color="auto"/>
            </w:tcBorders>
            <w:shd w:val="clear" w:color="auto" w:fill="auto"/>
            <w:noWrap/>
            <w:vAlign w:val="center"/>
            <w:hideMark/>
          </w:tcPr>
          <w:p w14:paraId="3316889F"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Infinya (İsrail)</w:t>
            </w:r>
          </w:p>
        </w:tc>
        <w:tc>
          <w:tcPr>
            <w:tcW w:w="2581" w:type="dxa"/>
            <w:tcBorders>
              <w:top w:val="nil"/>
              <w:left w:val="nil"/>
              <w:bottom w:val="single" w:sz="4" w:space="0" w:color="auto"/>
              <w:right w:val="single" w:sz="4" w:space="0" w:color="auto"/>
            </w:tcBorders>
            <w:shd w:val="clear" w:color="auto" w:fill="auto"/>
            <w:noWrap/>
            <w:vAlign w:val="center"/>
            <w:hideMark/>
          </w:tcPr>
          <w:p w14:paraId="02840DE3"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İhracatçı/Exporter</w:t>
            </w:r>
          </w:p>
        </w:tc>
        <w:tc>
          <w:tcPr>
            <w:tcW w:w="2226" w:type="dxa"/>
            <w:tcBorders>
              <w:top w:val="nil"/>
              <w:left w:val="nil"/>
              <w:bottom w:val="single" w:sz="4" w:space="0" w:color="auto"/>
              <w:right w:val="single" w:sz="8" w:space="0" w:color="auto"/>
            </w:tcBorders>
            <w:shd w:val="clear" w:color="auto" w:fill="auto"/>
            <w:noWrap/>
            <w:vAlign w:val="center"/>
            <w:hideMark/>
          </w:tcPr>
          <w:p w14:paraId="1F1573F1"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İsrail/Israel</w:t>
            </w:r>
          </w:p>
        </w:tc>
      </w:tr>
      <w:tr w:rsidR="00772287" w:rsidRPr="002340FA" w14:paraId="08042C3F"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45DBC9BA"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27</w:t>
            </w:r>
          </w:p>
        </w:tc>
        <w:tc>
          <w:tcPr>
            <w:tcW w:w="3121" w:type="dxa"/>
            <w:tcBorders>
              <w:top w:val="nil"/>
              <w:left w:val="nil"/>
              <w:bottom w:val="single" w:sz="4" w:space="0" w:color="auto"/>
              <w:right w:val="single" w:sz="4" w:space="0" w:color="auto"/>
            </w:tcBorders>
            <w:shd w:val="clear" w:color="auto" w:fill="auto"/>
            <w:noWrap/>
            <w:vAlign w:val="center"/>
            <w:hideMark/>
          </w:tcPr>
          <w:p w14:paraId="1BD6B8B8"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DS Smith</w:t>
            </w:r>
          </w:p>
        </w:tc>
        <w:tc>
          <w:tcPr>
            <w:tcW w:w="2581" w:type="dxa"/>
            <w:tcBorders>
              <w:top w:val="nil"/>
              <w:left w:val="nil"/>
              <w:bottom w:val="single" w:sz="4" w:space="0" w:color="auto"/>
              <w:right w:val="single" w:sz="4" w:space="0" w:color="auto"/>
            </w:tcBorders>
            <w:shd w:val="clear" w:color="auto" w:fill="auto"/>
            <w:noWrap/>
            <w:vAlign w:val="center"/>
            <w:hideMark/>
          </w:tcPr>
          <w:p w14:paraId="17791DA6"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İhracatçı/Exporter</w:t>
            </w:r>
          </w:p>
        </w:tc>
        <w:tc>
          <w:tcPr>
            <w:tcW w:w="2226" w:type="dxa"/>
            <w:tcBorders>
              <w:top w:val="nil"/>
              <w:left w:val="nil"/>
              <w:bottom w:val="single" w:sz="4" w:space="0" w:color="auto"/>
              <w:right w:val="single" w:sz="8" w:space="0" w:color="auto"/>
            </w:tcBorders>
            <w:shd w:val="clear" w:color="auto" w:fill="auto"/>
            <w:noWrap/>
            <w:vAlign w:val="center"/>
            <w:hideMark/>
          </w:tcPr>
          <w:p w14:paraId="1C7322A1"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Birleşik Krallık/United Kingdom</w:t>
            </w:r>
          </w:p>
        </w:tc>
      </w:tr>
      <w:tr w:rsidR="00772287" w:rsidRPr="002340FA" w14:paraId="4EB0C3C5" w14:textId="77777777" w:rsidTr="00D0295E">
        <w:trPr>
          <w:trHeight w:val="254"/>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14:paraId="23221161"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28</w:t>
            </w:r>
          </w:p>
        </w:tc>
        <w:tc>
          <w:tcPr>
            <w:tcW w:w="3121" w:type="dxa"/>
            <w:tcBorders>
              <w:top w:val="nil"/>
              <w:left w:val="nil"/>
              <w:bottom w:val="single" w:sz="4" w:space="0" w:color="auto"/>
              <w:right w:val="single" w:sz="4" w:space="0" w:color="auto"/>
            </w:tcBorders>
            <w:shd w:val="clear" w:color="auto" w:fill="auto"/>
            <w:noWrap/>
            <w:vAlign w:val="center"/>
            <w:hideMark/>
          </w:tcPr>
          <w:p w14:paraId="6D017B52"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PK Varel</w:t>
            </w:r>
          </w:p>
        </w:tc>
        <w:tc>
          <w:tcPr>
            <w:tcW w:w="2581" w:type="dxa"/>
            <w:tcBorders>
              <w:top w:val="nil"/>
              <w:left w:val="nil"/>
              <w:bottom w:val="single" w:sz="4" w:space="0" w:color="auto"/>
              <w:right w:val="single" w:sz="4" w:space="0" w:color="auto"/>
            </w:tcBorders>
            <w:shd w:val="clear" w:color="auto" w:fill="auto"/>
            <w:noWrap/>
            <w:vAlign w:val="center"/>
            <w:hideMark/>
          </w:tcPr>
          <w:p w14:paraId="6CE4E4C2"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İhracatçı/Exporter</w:t>
            </w:r>
          </w:p>
        </w:tc>
        <w:tc>
          <w:tcPr>
            <w:tcW w:w="2226" w:type="dxa"/>
            <w:tcBorders>
              <w:top w:val="nil"/>
              <w:left w:val="nil"/>
              <w:bottom w:val="single" w:sz="4" w:space="0" w:color="auto"/>
              <w:right w:val="single" w:sz="8" w:space="0" w:color="auto"/>
            </w:tcBorders>
            <w:shd w:val="clear" w:color="auto" w:fill="auto"/>
            <w:noWrap/>
            <w:vAlign w:val="center"/>
            <w:hideMark/>
          </w:tcPr>
          <w:p w14:paraId="2428DCF1"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Almanya/Germany</w:t>
            </w:r>
          </w:p>
        </w:tc>
      </w:tr>
      <w:tr w:rsidR="00772287" w:rsidRPr="002340FA" w14:paraId="25C807F5" w14:textId="77777777" w:rsidTr="00D0295E">
        <w:trPr>
          <w:trHeight w:val="266"/>
        </w:trPr>
        <w:tc>
          <w:tcPr>
            <w:tcW w:w="302" w:type="dxa"/>
            <w:tcBorders>
              <w:top w:val="nil"/>
              <w:left w:val="single" w:sz="8" w:space="0" w:color="auto"/>
              <w:bottom w:val="single" w:sz="8" w:space="0" w:color="auto"/>
              <w:right w:val="single" w:sz="4" w:space="0" w:color="auto"/>
            </w:tcBorders>
            <w:shd w:val="clear" w:color="auto" w:fill="auto"/>
            <w:noWrap/>
            <w:vAlign w:val="center"/>
            <w:hideMark/>
          </w:tcPr>
          <w:p w14:paraId="6E533B93" w14:textId="77777777" w:rsidR="00772287" w:rsidRPr="002340FA" w:rsidRDefault="00772287" w:rsidP="00D0295E">
            <w:pPr>
              <w:spacing w:after="0" w:line="240" w:lineRule="auto"/>
              <w:jc w:val="center"/>
              <w:rPr>
                <w:rFonts w:ascii="Times New Roman" w:eastAsia="Times New Roman" w:hAnsi="Times New Roman" w:cs="Times New Roman"/>
                <w:b/>
                <w:bCs/>
                <w:color w:val="000000"/>
                <w:sz w:val="13"/>
                <w:szCs w:val="13"/>
                <w:lang w:eastAsia="tr-TR"/>
              </w:rPr>
            </w:pPr>
            <w:r w:rsidRPr="002340FA">
              <w:rPr>
                <w:rFonts w:ascii="Times New Roman" w:eastAsia="Times New Roman" w:hAnsi="Times New Roman" w:cs="Times New Roman"/>
                <w:b/>
                <w:bCs/>
                <w:color w:val="000000"/>
                <w:sz w:val="13"/>
                <w:szCs w:val="13"/>
                <w:lang w:eastAsia="tr-TR"/>
              </w:rPr>
              <w:t>29</w:t>
            </w:r>
          </w:p>
        </w:tc>
        <w:tc>
          <w:tcPr>
            <w:tcW w:w="3121" w:type="dxa"/>
            <w:tcBorders>
              <w:top w:val="nil"/>
              <w:left w:val="nil"/>
              <w:bottom w:val="single" w:sz="8" w:space="0" w:color="auto"/>
              <w:right w:val="single" w:sz="4" w:space="0" w:color="auto"/>
            </w:tcBorders>
            <w:shd w:val="clear" w:color="auto" w:fill="auto"/>
            <w:noWrap/>
            <w:vAlign w:val="center"/>
            <w:hideMark/>
          </w:tcPr>
          <w:p w14:paraId="0A215C89"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Leipa Georg</w:t>
            </w:r>
          </w:p>
        </w:tc>
        <w:tc>
          <w:tcPr>
            <w:tcW w:w="2581" w:type="dxa"/>
            <w:tcBorders>
              <w:top w:val="nil"/>
              <w:left w:val="nil"/>
              <w:bottom w:val="single" w:sz="8" w:space="0" w:color="auto"/>
              <w:right w:val="single" w:sz="4" w:space="0" w:color="auto"/>
            </w:tcBorders>
            <w:shd w:val="clear" w:color="auto" w:fill="auto"/>
            <w:noWrap/>
            <w:vAlign w:val="center"/>
            <w:hideMark/>
          </w:tcPr>
          <w:p w14:paraId="3CE79710"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İhracatçı/Exporter</w:t>
            </w:r>
          </w:p>
        </w:tc>
        <w:tc>
          <w:tcPr>
            <w:tcW w:w="2226" w:type="dxa"/>
            <w:tcBorders>
              <w:top w:val="nil"/>
              <w:left w:val="nil"/>
              <w:bottom w:val="single" w:sz="8" w:space="0" w:color="auto"/>
              <w:right w:val="single" w:sz="8" w:space="0" w:color="auto"/>
            </w:tcBorders>
            <w:shd w:val="clear" w:color="auto" w:fill="auto"/>
            <w:noWrap/>
            <w:vAlign w:val="center"/>
            <w:hideMark/>
          </w:tcPr>
          <w:p w14:paraId="1B9B097F" w14:textId="77777777" w:rsidR="00772287" w:rsidRPr="002340FA" w:rsidRDefault="00772287" w:rsidP="00D0295E">
            <w:pPr>
              <w:spacing w:after="0" w:line="240" w:lineRule="auto"/>
              <w:rPr>
                <w:rFonts w:ascii="Times New Roman" w:eastAsia="Times New Roman" w:hAnsi="Times New Roman" w:cs="Times New Roman"/>
                <w:color w:val="000000"/>
                <w:sz w:val="13"/>
                <w:szCs w:val="13"/>
                <w:lang w:eastAsia="tr-TR"/>
              </w:rPr>
            </w:pPr>
            <w:r w:rsidRPr="002340FA">
              <w:rPr>
                <w:rFonts w:ascii="Times New Roman" w:eastAsia="Times New Roman" w:hAnsi="Times New Roman" w:cs="Times New Roman"/>
                <w:color w:val="000000"/>
                <w:sz w:val="13"/>
                <w:szCs w:val="13"/>
                <w:lang w:eastAsia="tr-TR"/>
              </w:rPr>
              <w:t>Almanya/Germany</w:t>
            </w:r>
          </w:p>
        </w:tc>
      </w:tr>
    </w:tbl>
    <w:p w14:paraId="05E60C09" w14:textId="77777777" w:rsidR="00772287" w:rsidRPr="002340FA" w:rsidRDefault="00772287" w:rsidP="00772287">
      <w:pPr>
        <w:spacing w:after="180" w:line="300" w:lineRule="exact"/>
        <w:jc w:val="both"/>
        <w:rPr>
          <w:rFonts w:ascii="Times New Roman" w:hAnsi="Times New Roman" w:cs="Times New Roman"/>
          <w:i/>
          <w:iCs/>
          <w:sz w:val="16"/>
          <w:szCs w:val="16"/>
          <w:u w:val="single"/>
        </w:rPr>
      </w:pPr>
      <w:r w:rsidRPr="002340FA">
        <w:rPr>
          <w:rFonts w:ascii="Times New Roman" w:hAnsi="Times New Roman" w:cs="Times New Roman"/>
          <w:i/>
          <w:iCs/>
          <w:sz w:val="16"/>
          <w:szCs w:val="16"/>
          <w:u w:val="single"/>
        </w:rPr>
        <w:t>*Başvuru sahibi dernek.</w:t>
      </w:r>
    </w:p>
    <w:p w14:paraId="65687A6D" w14:textId="09F93BD8" w:rsidR="00C2355C" w:rsidRDefault="00C2355C">
      <w:pPr>
        <w:rPr>
          <w:rFonts w:ascii="Times New Roman" w:hAnsi="Times New Roman" w:cs="Times New Roman"/>
          <w:i/>
          <w:iCs/>
          <w:sz w:val="16"/>
          <w:szCs w:val="16"/>
          <w:u w:val="single"/>
        </w:rPr>
      </w:pPr>
      <w:r>
        <w:rPr>
          <w:rFonts w:ascii="Times New Roman" w:hAnsi="Times New Roman" w:cs="Times New Roman"/>
          <w:i/>
          <w:iCs/>
          <w:sz w:val="16"/>
          <w:szCs w:val="16"/>
          <w:u w:val="single"/>
        </w:rPr>
        <w:br w:type="page"/>
      </w:r>
    </w:p>
    <w:p w14:paraId="3C23C0D9" w14:textId="79BE45CA" w:rsidR="00772287" w:rsidRPr="002340FA" w:rsidRDefault="00772287" w:rsidP="00772287">
      <w:pPr>
        <w:spacing w:after="180" w:line="300" w:lineRule="exact"/>
        <w:jc w:val="both"/>
        <w:rPr>
          <w:rFonts w:ascii="Times New Roman" w:hAnsi="Times New Roman" w:cs="Times New Roman"/>
          <w:b/>
          <w:bCs/>
          <w:sz w:val="24"/>
          <w:szCs w:val="24"/>
          <w:u w:val="single"/>
        </w:rPr>
      </w:pPr>
      <w:bookmarkStart w:id="1" w:name="_GoBack"/>
      <w:bookmarkEnd w:id="1"/>
      <w:r w:rsidRPr="002340FA">
        <w:rPr>
          <w:rFonts w:ascii="Times New Roman" w:hAnsi="Times New Roman" w:cs="Times New Roman"/>
          <w:b/>
          <w:bCs/>
          <w:sz w:val="24"/>
          <w:szCs w:val="24"/>
          <w:u w:val="single"/>
        </w:rPr>
        <w:lastRenderedPageBreak/>
        <w:t xml:space="preserve">Ek </w:t>
      </w:r>
      <w:r w:rsidR="0020285E">
        <w:rPr>
          <w:rFonts w:ascii="Times New Roman" w:hAnsi="Times New Roman" w:cs="Times New Roman"/>
          <w:b/>
          <w:bCs/>
          <w:sz w:val="24"/>
          <w:szCs w:val="24"/>
          <w:u w:val="single"/>
        </w:rPr>
        <w:t>1</w:t>
      </w:r>
      <w:r w:rsidRPr="002340FA">
        <w:rPr>
          <w:rFonts w:ascii="Times New Roman" w:hAnsi="Times New Roman" w:cs="Times New Roman"/>
          <w:b/>
          <w:bCs/>
          <w:sz w:val="24"/>
          <w:szCs w:val="24"/>
          <w:u w:val="single"/>
        </w:rPr>
        <w:t>b Korunma önleminden muaf tutulacak GYÜ listesi</w:t>
      </w:r>
    </w:p>
    <w:p w14:paraId="40E834A4" w14:textId="5256C683" w:rsidR="00772287" w:rsidRPr="0093718F" w:rsidRDefault="00772287" w:rsidP="0093718F">
      <w:pPr>
        <w:jc w:val="both"/>
        <w:rPr>
          <w:rFonts w:ascii="Times New Roman" w:eastAsia="Calibri" w:hAnsi="Times New Roman" w:cs="Times New Roman"/>
          <w:sz w:val="24"/>
          <w:szCs w:val="24"/>
        </w:rPr>
      </w:pPr>
      <w:r w:rsidRPr="002340FA">
        <w:rPr>
          <w:rFonts w:ascii="Times New Roman" w:eastAsia="Calibri" w:hAnsi="Times New Roman" w:cs="Times New Roman"/>
          <w:sz w:val="24"/>
          <w:szCs w:val="24"/>
        </w:rPr>
        <w:t>Afganistan İslam Cumhuriyeti, Angola Cumhuriyeti, Arjantin Cumhuriyeti, Arnavutluk Cumhuriyeti, Azerbaycan Cumhuriyeti, Belize, Benin Cumhuriyeti, Belarus Cumhuriyeti, Butan Krallığı, Bolivya Çok Uluslu Devleti, Bosna Hersek, Botsvana Cumhuriyeti, Burkina Faso, Myanmar Birliği Cumhuriyeti, Burundi Cumhuriyeti, Cabo Verde Cumhuriyeti, Cezayir Demokratik Halk Cumhuriyeti, Cibuti Cumhuriyeti, Cook Adaları, Çad Cumhuriyeti, Doğu Timor Demokratik Cumhuriyeti, Dominik Cumhuriyeti, Dominika, Ekvator Cumhuriyeti, Ekvator Ginesi Cumhuriyeti, El Salvador Cumhuriyeti, Eritre Devleti, Esvatini Krallığı, Etiyopya Federal Demokratik Cumhuriyeti, Fiji Cumhuriyeti, Kotdivuar Cumhuriyeti, Filipinler Cumhuriyeti, Filistin Devleti, Gabon Cumhuriyeti, Gambiya Cumhuriyeti, Gana Cumhuriyeti, Gine Cumhuriyeti, Gine-Bissau Cumhuriyeti, Grenada, Guatemala Cumhuriyeti, Güney Sudan Cumhuriyeti, Haiti Cumhuriyeti, Honduras Cumhuriyeti, Irak Cumhuriyeti, İran İslam Cumhuriyeti, Jamaika, Kamboçya Krallığı, Kamerun Cumhuriyeti, Kazakistan Cumhuriyeti, Kenya Cumhuriyeti, Kırgız Cumhuriyeti, Kiribati Cumhuriyeti, Kolombiya Cumhuriyeti, Komorlar Birliği, Kongo Cumhuriyeti, Kongo Demokratik Cumhuriyeti, Kosova Cumhuriyeti, Kosta Rika Cumhuriyeti, Kore Demokratik Halk Cumhuriyeti, Küba Cumhuriyeti, Laos Demokratik Halk Cumhuriyeti, Lesotho Krallığı, Liberya Cumhuriyeti, Libya Devleti, Lübnan Cumhuriyeti, Madagaskar Cumhuriyeti, Malavi Cumhuriyeti, Maldivler Cumhuriyeti, Mali Cumhuriyeti, Marşal Adaları Cumhuriyeti, Mikronezya Federe Devletleri, Moğolistan, Moldova Cumhuriyeti, Moritanya İslam Cumhuriyeti, Morityus Cumhuriyeti, Mozambik Cumhuriyeti, Namibya Cumhuriyeti, Nepal Federal Demokratik Cumhuriyeti, Nijer Cumhuriyeti, Nijerya Federal Cumhuriyeti, Nikaragua Cumhuriyeti, Niue, Orta Afrika Cumhuriyeti, Özbekistan Cumhuriyeti, Pakistan İslam Cumhuriyeti, Palau Cumhuriyeti, Papua Yeni Gine Bağımsız Devleti, Paraguay Cumhuriyeti, Peru Cumhuriyeti, Ruanda Cumhuriyeti, Samoa Bağımsız Devleti, Sao Tome Ve Prinsipe Demokratik Cumhuriyeti, Senegal Cumhuriyeti, Sierra Leone Cumhuriyeti, Solomon Adaları, Somali Federal Cumhuriyeti, Sri Lanka Demokratik Sosyalist Cumhuriyeti, Saint Lucia, Saint Vincent ve Grenadinler, Sudan Cumhuriyeti, Surinam Cumhuriyeti, Tacikistan Cumhuriyet, Tanzanya Birleşik Cumhuriyeti, Togo Cumhuriyeti, Tonga Krallığı, Tuvalu, Türkmenistan, Uganda Cumhuriyeti, Ürdün Haşimi Krallığı, Vanuatu Cumhuriyeti, Bolivarcı Venezuela Cumhuriyeti, Yemen Cumhuriyeti, Zambiya Cumhuriyeti, Zimbabve Cumhuriyeti</w:t>
      </w:r>
      <w:r w:rsidR="00ED58FC">
        <w:rPr>
          <w:rFonts w:ascii="Times New Roman" w:eastAsia="Calibri" w:hAnsi="Times New Roman" w:cs="Times New Roman"/>
          <w:sz w:val="24"/>
          <w:szCs w:val="24"/>
        </w:rPr>
        <w:t>.</w:t>
      </w:r>
    </w:p>
    <w:sectPr w:rsidR="00772287" w:rsidRPr="0093718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75BB77" w14:textId="77777777" w:rsidR="00DE5480" w:rsidRDefault="00DE5480" w:rsidP="00FF5A51">
      <w:pPr>
        <w:spacing w:after="0" w:line="240" w:lineRule="auto"/>
      </w:pPr>
      <w:r>
        <w:separator/>
      </w:r>
    </w:p>
  </w:endnote>
  <w:endnote w:type="continuationSeparator" w:id="0">
    <w:p w14:paraId="6E5B3C00" w14:textId="77777777" w:rsidR="00DE5480" w:rsidRDefault="00DE5480" w:rsidP="00FF5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10F995" w14:textId="77777777" w:rsidR="00DE5480" w:rsidRDefault="00DE5480" w:rsidP="00FF5A51">
      <w:pPr>
        <w:spacing w:after="0" w:line="240" w:lineRule="auto"/>
      </w:pPr>
      <w:r>
        <w:separator/>
      </w:r>
    </w:p>
  </w:footnote>
  <w:footnote w:type="continuationSeparator" w:id="0">
    <w:p w14:paraId="7FDD3035" w14:textId="77777777" w:rsidR="00DE5480" w:rsidRDefault="00DE5480" w:rsidP="00FF5A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D71"/>
    <w:rsid w:val="00094BB4"/>
    <w:rsid w:val="00114334"/>
    <w:rsid w:val="0019064E"/>
    <w:rsid w:val="001B0F95"/>
    <w:rsid w:val="0020285E"/>
    <w:rsid w:val="00205D48"/>
    <w:rsid w:val="002738E1"/>
    <w:rsid w:val="002C7280"/>
    <w:rsid w:val="003A4E92"/>
    <w:rsid w:val="003C26B2"/>
    <w:rsid w:val="0043046D"/>
    <w:rsid w:val="00517D01"/>
    <w:rsid w:val="0061576C"/>
    <w:rsid w:val="006C42B8"/>
    <w:rsid w:val="00711A29"/>
    <w:rsid w:val="00721AB5"/>
    <w:rsid w:val="00733B14"/>
    <w:rsid w:val="007379F4"/>
    <w:rsid w:val="00772287"/>
    <w:rsid w:val="00774D71"/>
    <w:rsid w:val="00830122"/>
    <w:rsid w:val="00882B9A"/>
    <w:rsid w:val="00893CE4"/>
    <w:rsid w:val="0093718F"/>
    <w:rsid w:val="009A6206"/>
    <w:rsid w:val="009B07A2"/>
    <w:rsid w:val="009B4E12"/>
    <w:rsid w:val="009E5E76"/>
    <w:rsid w:val="00A0763B"/>
    <w:rsid w:val="00A17452"/>
    <w:rsid w:val="00A25D2D"/>
    <w:rsid w:val="00AA4B67"/>
    <w:rsid w:val="00AD73E5"/>
    <w:rsid w:val="00AE5F38"/>
    <w:rsid w:val="00AE73F1"/>
    <w:rsid w:val="00B4525F"/>
    <w:rsid w:val="00C2355C"/>
    <w:rsid w:val="00C32DAD"/>
    <w:rsid w:val="00C85F5E"/>
    <w:rsid w:val="00D020B7"/>
    <w:rsid w:val="00D63E87"/>
    <w:rsid w:val="00D967C7"/>
    <w:rsid w:val="00DE5480"/>
    <w:rsid w:val="00E1115D"/>
    <w:rsid w:val="00E53285"/>
    <w:rsid w:val="00ED58FC"/>
    <w:rsid w:val="00EE7423"/>
    <w:rsid w:val="00F47FF2"/>
    <w:rsid w:val="00FC7265"/>
    <w:rsid w:val="00FF4172"/>
    <w:rsid w:val="00FF5A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DEC30F"/>
  <w15:chartTrackingRefBased/>
  <w15:docId w15:val="{BF3DE6FC-3F25-48FE-A0AF-3B63E9176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3C26B2"/>
    <w:pPr>
      <w:spacing w:after="0" w:line="240" w:lineRule="auto"/>
      <w:jc w:val="both"/>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rsid w:val="003C26B2"/>
    <w:rPr>
      <w:rFonts w:ascii="Times New Roman" w:eastAsia="Times New Roman" w:hAnsi="Times New Roman" w:cs="Times New Roman"/>
      <w:sz w:val="24"/>
      <w:szCs w:val="24"/>
    </w:rPr>
  </w:style>
  <w:style w:type="character" w:styleId="Kpr">
    <w:name w:val="Hyperlink"/>
    <w:basedOn w:val="VarsaylanParagrafYazTipi"/>
    <w:uiPriority w:val="99"/>
    <w:unhideWhenUsed/>
    <w:rsid w:val="0061576C"/>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900560">
      <w:bodyDiv w:val="1"/>
      <w:marLeft w:val="0"/>
      <w:marRight w:val="0"/>
      <w:marTop w:val="0"/>
      <w:marBottom w:val="0"/>
      <w:divBdr>
        <w:top w:val="none" w:sz="0" w:space="0" w:color="auto"/>
        <w:left w:val="none" w:sz="0" w:space="0" w:color="auto"/>
        <w:bottom w:val="none" w:sz="0" w:space="0" w:color="auto"/>
        <w:right w:val="none" w:sz="0" w:space="0" w:color="auto"/>
      </w:divBdr>
    </w:div>
    <w:div w:id="171542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ckaging-gateway.com/news/smurfit-kappa-investment-germany/?cf-view"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aperadvance.com/blogs/soeren-back/corrugated-board-attracts-big-european-investments.html" TargetMode="External"/><Relationship Id="rId12" Type="http://schemas.openxmlformats.org/officeDocument/2006/relationships/hyperlink" Target="https://www.packaging-gateway.com/news/smurfit-kappa-investment-german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pulse/testliner-fluting-paper-market-size-2023-share-jyyyf/" TargetMode="External"/><Relationship Id="rId11" Type="http://schemas.openxmlformats.org/officeDocument/2006/relationships/hyperlink" Target="https://www.paperadvance.com/blogs/soeren-back/corrugated-board-attracts-big-european-investments.html" TargetMode="External"/><Relationship Id="rId5" Type="http://schemas.openxmlformats.org/officeDocument/2006/relationships/endnotes" Target="endnotes.xml"/><Relationship Id="rId10" Type="http://schemas.openxmlformats.org/officeDocument/2006/relationships/hyperlink" Target="https://www.trade.gov/impact-covid-pandemic-ecommerce" TargetMode="External"/><Relationship Id="rId4" Type="http://schemas.openxmlformats.org/officeDocument/2006/relationships/footnotes" Target="footnotes.xml"/><Relationship Id="rId9" Type="http://schemas.openxmlformats.org/officeDocument/2006/relationships/hyperlink" Target="https://www.statista.com/statistics/379046/worldwide-retail-e-commerce-sales/"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19</Pages>
  <Words>7898</Words>
  <Characters>45022</Characters>
  <Application>Microsoft Office Word</Application>
  <DocSecurity>0</DocSecurity>
  <Lines>375</Lines>
  <Paragraphs>105</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52815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Kübra DÖNMEZ</cp:lastModifiedBy>
  <cp:revision>15</cp:revision>
  <dcterms:created xsi:type="dcterms:W3CDTF">2024-06-13T12:46:00Z</dcterms:created>
  <dcterms:modified xsi:type="dcterms:W3CDTF">2024-06-28T06:11:00Z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user=18974879058</vt:lpwstr>
  </property>
  <property fmtid="{D5CDD505-2E9C-101B-9397-08002B2CF9AE}" pid="4" name="geodilabeltime">
    <vt:lpwstr>datetime=2024-05-17T12:15:55.853Z</vt:lpwstr>
  </property>
</Properties>
</file>